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8B" w:rsidRPr="00E83A8B" w:rsidRDefault="00D67239" w:rsidP="00E83A8B">
      <w:pPr>
        <w:pStyle w:val="Nagwek"/>
        <w:spacing w:before="120" w:after="120" w:line="240" w:lineRule="atLeast"/>
        <w:rPr>
          <w:rFonts w:ascii="Arial" w:hAnsi="Arial" w:cs="Arial"/>
          <w:sz w:val="24"/>
          <w:szCs w:val="24"/>
        </w:rPr>
      </w:pPr>
      <w:r w:rsidRPr="00F75263">
        <w:rPr>
          <w:rFonts w:ascii="Arial" w:hAnsi="Arial" w:cs="Arial"/>
          <w:sz w:val="24"/>
          <w:szCs w:val="24"/>
        </w:rPr>
        <w:t>Załącznik do uchwały nr</w:t>
      </w:r>
      <w:r w:rsidR="002E7381">
        <w:rPr>
          <w:rFonts w:ascii="Arial" w:hAnsi="Arial" w:cs="Arial"/>
          <w:sz w:val="24"/>
          <w:szCs w:val="24"/>
        </w:rPr>
        <w:t xml:space="preserve"> 348 </w:t>
      </w:r>
      <w:r w:rsidRPr="00F75263">
        <w:rPr>
          <w:rFonts w:ascii="Arial" w:hAnsi="Arial" w:cs="Arial"/>
          <w:sz w:val="24"/>
          <w:szCs w:val="24"/>
        </w:rPr>
        <w:t xml:space="preserve">Komitetu Monitorującego Program Operacyjny Wiedza Edukacja Rozwój z dnia </w:t>
      </w:r>
      <w:r w:rsidR="002E7381">
        <w:rPr>
          <w:rFonts w:ascii="Arial" w:hAnsi="Arial" w:cs="Arial"/>
          <w:sz w:val="24"/>
          <w:szCs w:val="24"/>
        </w:rPr>
        <w:t>16 marca 2021 roku</w:t>
      </w:r>
    </w:p>
    <w:tbl>
      <w:tblPr>
        <w:tblpPr w:leftFromText="141" w:rightFromText="141" w:vertAnchor="page" w:horzAnchor="margin" w:tblpY="3802"/>
        <w:tblW w:w="500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19"/>
        <w:gridCol w:w="2608"/>
        <w:gridCol w:w="4474"/>
      </w:tblGrid>
      <w:tr w:rsidR="00E83A8B" w:rsidRPr="00E83A8B" w:rsidTr="00056B2B">
        <w:trPr>
          <w:trHeight w:val="218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120" w:after="12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>PLAN DZIAŁANIA NA ROK 2020</w:t>
            </w:r>
          </w:p>
        </w:tc>
      </w:tr>
      <w:tr w:rsidR="00E83A8B" w:rsidRPr="00E83A8B" w:rsidTr="00056B2B">
        <w:trPr>
          <w:trHeight w:val="218"/>
        </w:trPr>
        <w:tc>
          <w:tcPr>
            <w:tcW w:w="259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120" w:after="12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>WERSJA PLANU DZIAŁANIA</w:t>
            </w:r>
            <w:r w:rsidRPr="00E83A8B">
              <w:rPr>
                <w:rFonts w:ascii="Arial" w:hAnsi="Arial" w:cs="Arial"/>
                <w:b/>
                <w:color w:val="FFFFFF"/>
                <w:vertAlign w:val="superscript"/>
              </w:rPr>
              <w:footnoteReference w:id="1"/>
            </w:r>
          </w:p>
        </w:tc>
        <w:tc>
          <w:tcPr>
            <w:tcW w:w="24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after="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</w:rPr>
              <w:t>2021/1</w:t>
            </w:r>
          </w:p>
        </w:tc>
      </w:tr>
      <w:tr w:rsidR="00E83A8B" w:rsidRPr="00E83A8B" w:rsidTr="00056B2B">
        <w:trPr>
          <w:trHeight w:val="218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120" w:after="12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>INFORMACJE O INSTYTUCJI OPRACOWUJĄCEJ PLAN DZIAŁANIA</w:t>
            </w:r>
          </w:p>
        </w:tc>
      </w:tr>
      <w:tr w:rsidR="00E83A8B" w:rsidRPr="00E83A8B" w:rsidTr="00056B2B">
        <w:trPr>
          <w:trHeight w:val="567"/>
        </w:trPr>
        <w:tc>
          <w:tcPr>
            <w:tcW w:w="119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 xml:space="preserve">Numer i nazwa </w:t>
            </w:r>
            <w:r w:rsidRPr="00E83A8B">
              <w:rPr>
                <w:rFonts w:ascii="Arial" w:hAnsi="Arial" w:cs="Arial"/>
                <w:b/>
                <w:color w:val="FFFFFF"/>
              </w:rPr>
              <w:br/>
              <w:t xml:space="preserve">osi priorytetowej </w:t>
            </w:r>
          </w:p>
        </w:tc>
        <w:tc>
          <w:tcPr>
            <w:tcW w:w="3807" w:type="pct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Oś priorytetowa II Efektywne polityki publiczne dla rynku pracy, gospodarki i edukacji</w:t>
            </w:r>
          </w:p>
        </w:tc>
      </w:tr>
      <w:tr w:rsidR="00E83A8B" w:rsidRPr="00E83A8B" w:rsidTr="00056B2B">
        <w:trPr>
          <w:trHeight w:val="567"/>
        </w:trPr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 xml:space="preserve">Instytucja </w:t>
            </w:r>
          </w:p>
        </w:tc>
        <w:tc>
          <w:tcPr>
            <w:tcW w:w="380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Ministerstwo Spraw Wewnętrznych i Administracji</w:t>
            </w:r>
          </w:p>
        </w:tc>
      </w:tr>
      <w:tr w:rsidR="00E83A8B" w:rsidRPr="00E83A8B" w:rsidTr="00056B2B">
        <w:trPr>
          <w:trHeight w:val="567"/>
        </w:trPr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 xml:space="preserve">Adres korespondencyjny </w:t>
            </w:r>
          </w:p>
        </w:tc>
        <w:tc>
          <w:tcPr>
            <w:tcW w:w="380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ul. Stefana Batorego 5; 02-591 Warszawa</w:t>
            </w:r>
          </w:p>
        </w:tc>
      </w:tr>
      <w:tr w:rsidR="00E83A8B" w:rsidRPr="00E83A8B" w:rsidTr="00056B2B">
        <w:trPr>
          <w:trHeight w:val="567"/>
        </w:trPr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>Telefon</w:t>
            </w:r>
          </w:p>
        </w:tc>
        <w:tc>
          <w:tcPr>
            <w:tcW w:w="380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B6F13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22 60 14</w:t>
            </w:r>
            <w:r w:rsidR="00EB6F13">
              <w:rPr>
                <w:rFonts w:ascii="Arial" w:hAnsi="Arial" w:cs="Arial"/>
              </w:rPr>
              <w:t>2</w:t>
            </w:r>
            <w:r w:rsidRPr="00E83A8B">
              <w:rPr>
                <w:rFonts w:ascii="Arial" w:hAnsi="Arial" w:cs="Arial"/>
              </w:rPr>
              <w:t xml:space="preserve"> </w:t>
            </w:r>
            <w:r w:rsidR="00EB6F13">
              <w:rPr>
                <w:rFonts w:ascii="Arial" w:hAnsi="Arial" w:cs="Arial"/>
              </w:rPr>
              <w:t>4</w:t>
            </w:r>
            <w:r w:rsidRPr="00E83A8B">
              <w:rPr>
                <w:rFonts w:ascii="Arial" w:hAnsi="Arial" w:cs="Arial"/>
              </w:rPr>
              <w:t>8</w:t>
            </w:r>
          </w:p>
        </w:tc>
      </w:tr>
      <w:tr w:rsidR="00E83A8B" w:rsidRPr="00E83A8B" w:rsidTr="00056B2B">
        <w:trPr>
          <w:trHeight w:val="567"/>
        </w:trPr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>Faks</w:t>
            </w:r>
          </w:p>
        </w:tc>
        <w:tc>
          <w:tcPr>
            <w:tcW w:w="380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n. d.</w:t>
            </w:r>
          </w:p>
        </w:tc>
      </w:tr>
      <w:tr w:rsidR="00E83A8B" w:rsidRPr="00E83A8B" w:rsidTr="00056B2B">
        <w:trPr>
          <w:trHeight w:val="567"/>
        </w:trPr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>E-mail</w:t>
            </w:r>
          </w:p>
        </w:tc>
        <w:tc>
          <w:tcPr>
            <w:tcW w:w="380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BB52EB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sekretariat.d</w:t>
            </w:r>
            <w:r w:rsidR="00BB52EB">
              <w:rPr>
                <w:rFonts w:ascii="Arial" w:hAnsi="Arial" w:cs="Arial"/>
              </w:rPr>
              <w:t>fe</w:t>
            </w:r>
            <w:r w:rsidRPr="00E83A8B">
              <w:rPr>
                <w:rFonts w:ascii="Arial" w:hAnsi="Arial" w:cs="Arial"/>
              </w:rPr>
              <w:t>@mswia.gov.pl</w:t>
            </w:r>
          </w:p>
        </w:tc>
      </w:tr>
      <w:tr w:rsidR="00E83A8B" w:rsidRPr="00E83A8B" w:rsidTr="00056B2B">
        <w:trPr>
          <w:trHeight w:val="978"/>
        </w:trPr>
        <w:tc>
          <w:tcPr>
            <w:tcW w:w="119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E83A8B">
              <w:rPr>
                <w:rFonts w:ascii="Arial" w:hAnsi="Arial" w:cs="Arial"/>
                <w:b/>
                <w:color w:val="FFFFFF"/>
              </w:rPr>
              <w:t xml:space="preserve">Dane kontaktowe osoby (osób) </w:t>
            </w:r>
            <w:r w:rsidRPr="00E83A8B">
              <w:rPr>
                <w:rFonts w:ascii="Arial" w:hAnsi="Arial" w:cs="Arial"/>
                <w:b/>
                <w:color w:val="FFFFFF"/>
              </w:rPr>
              <w:br/>
              <w:t xml:space="preserve">do kontaktów roboczych </w:t>
            </w:r>
          </w:p>
        </w:tc>
        <w:tc>
          <w:tcPr>
            <w:tcW w:w="3807" w:type="pct"/>
            <w:gridSpan w:val="2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Adam Misiuwianiec</w:t>
            </w:r>
          </w:p>
          <w:p w:rsidR="00E83A8B" w:rsidRPr="00E83A8B" w:rsidRDefault="00E83A8B" w:rsidP="00E83A8B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adam.misiuwianiec@mswia.gov.pl</w:t>
            </w:r>
          </w:p>
          <w:p w:rsidR="00E83A8B" w:rsidRPr="00E83A8B" w:rsidRDefault="00E83A8B" w:rsidP="00E83A8B">
            <w:pPr>
              <w:spacing w:after="0" w:line="240" w:lineRule="auto"/>
              <w:rPr>
                <w:rFonts w:ascii="Arial" w:hAnsi="Arial" w:cs="Arial"/>
              </w:rPr>
            </w:pPr>
            <w:r w:rsidRPr="00E83A8B">
              <w:rPr>
                <w:rFonts w:ascii="Arial" w:hAnsi="Arial" w:cs="Arial"/>
              </w:rPr>
              <w:t>22 60 119 11</w:t>
            </w:r>
          </w:p>
        </w:tc>
      </w:tr>
    </w:tbl>
    <w:p w:rsidR="00E83A8B" w:rsidRPr="00E83A8B" w:rsidRDefault="00E83A8B" w:rsidP="00E83A8B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  <w:r w:rsidRPr="00E83A8B">
        <w:rPr>
          <w:rFonts w:ascii="Arial" w:hAnsi="Arial" w:cs="Arial"/>
          <w:sz w:val="24"/>
          <w:szCs w:val="24"/>
        </w:rPr>
        <w:br w:type="page"/>
      </w:r>
    </w:p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283"/>
        <w:gridCol w:w="357"/>
        <w:gridCol w:w="71"/>
        <w:gridCol w:w="1404"/>
        <w:gridCol w:w="10"/>
        <w:gridCol w:w="425"/>
        <w:gridCol w:w="429"/>
        <w:gridCol w:w="982"/>
        <w:gridCol w:w="7"/>
        <w:gridCol w:w="141"/>
        <w:gridCol w:w="425"/>
        <w:gridCol w:w="784"/>
        <w:gridCol w:w="351"/>
        <w:gridCol w:w="142"/>
        <w:gridCol w:w="1846"/>
      </w:tblGrid>
      <w:tr w:rsidR="00E83A8B" w:rsidRPr="00E83A8B" w:rsidTr="00056B2B">
        <w:trPr>
          <w:trHeight w:val="351"/>
        </w:trPr>
        <w:tc>
          <w:tcPr>
            <w:tcW w:w="241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DZIAŁANIE </w:t>
            </w:r>
          </w:p>
          <w:p w:rsidR="00E83A8B" w:rsidRPr="00E83A8B" w:rsidRDefault="00E83A8B" w:rsidP="00E83A8B">
            <w:pPr>
              <w:spacing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PO WER</w:t>
            </w:r>
          </w:p>
        </w:tc>
        <w:tc>
          <w:tcPr>
            <w:tcW w:w="6946" w:type="dxa"/>
            <w:gridSpan w:val="1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Działanie 2.18  Wysokiej jakości usługi administracyjne  </w:t>
            </w:r>
          </w:p>
        </w:tc>
      </w:tr>
      <w:tr w:rsidR="00E83A8B" w:rsidRPr="00E83A8B" w:rsidTr="00056B2B">
        <w:trPr>
          <w:trHeight w:val="351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FISZKA PROJEKTU POZAKONKURSOWEGO KONCEPCYJNEGO</w:t>
            </w:r>
          </w:p>
        </w:tc>
      </w:tr>
      <w:tr w:rsidR="00E83A8B" w:rsidRPr="00E83A8B" w:rsidTr="00056B2B">
        <w:trPr>
          <w:trHeight w:val="351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120" w:after="12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PODSTAWOWE INFORMACJE O PROJEKCIE</w:t>
            </w:r>
          </w:p>
        </w:tc>
      </w:tr>
      <w:tr w:rsidR="00E83A8B" w:rsidRPr="00E83A8B" w:rsidTr="00056B2B">
        <w:trPr>
          <w:trHeight w:val="963"/>
        </w:trPr>
        <w:tc>
          <w:tcPr>
            <w:tcW w:w="1982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Tytuł lub zakres projektu</w:t>
            </w:r>
            <w:r w:rsidRPr="00E83A8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374" w:type="dxa"/>
            <w:gridSpan w:val="1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83A8B" w:rsidRPr="00E83A8B" w:rsidRDefault="00E83A8B" w:rsidP="00E83A8B">
            <w:pPr>
              <w:spacing w:before="120" w:after="12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Dostępny samorząd – granty</w:t>
            </w:r>
          </w:p>
        </w:tc>
      </w:tr>
      <w:tr w:rsidR="00E83A8B" w:rsidRPr="00E83A8B" w:rsidTr="00056B2B">
        <w:trPr>
          <w:trHeight w:val="703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Cel szczegółowy </w:t>
            </w:r>
            <w:r w:rsidRPr="00E83A8B">
              <w:rPr>
                <w:rFonts w:ascii="Arial" w:hAnsi="Arial" w:cs="Arial"/>
                <w:sz w:val="24"/>
                <w:szCs w:val="24"/>
              </w:rPr>
              <w:br/>
              <w:t>PO WER, w ramach którego projekt będzie realizowany</w:t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Cel szczegółowy 6: Włączenie idei dostępności do głównego nurtu dobrego  rządzenia </w:t>
            </w:r>
          </w:p>
        </w:tc>
      </w:tr>
      <w:tr w:rsidR="00E83A8B" w:rsidRPr="00E83A8B" w:rsidTr="00056B2B">
        <w:trPr>
          <w:trHeight w:val="703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Priorytet inwestycyjny</w:t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Priorytet Inwestycyjny: 11i - Inwestycje w zdolności instytucjonalne i w sprawność administracji publicznej oraz efektywność usług publicznych na szczeblu krajowym, regionalnym i lokalnym w celu przeprowadzenia reform, z uwzględnieniem lepszego stanowienia prawa i dobrego rządzenia.</w:t>
            </w:r>
          </w:p>
        </w:tc>
      </w:tr>
      <w:tr w:rsidR="00E83A8B" w:rsidRPr="00E83A8B" w:rsidTr="00056B2B">
        <w:trPr>
          <w:trHeight w:val="636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Typ/typy projektów przewidziane do realizacji w ramach projektu</w:t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Wdrażanie w jednostkach samorządu terytorialnego rozwiązań poprawiających dostępność do usług publicznych dla osób z niepełnosprawnościami</w:t>
            </w:r>
          </w:p>
        </w:tc>
      </w:tr>
      <w:tr w:rsidR="00E83A8B" w:rsidRPr="00E83A8B" w:rsidTr="00056B2B">
        <w:trPr>
          <w:trHeight w:val="636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Cel główny </w:t>
            </w: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projektu</w:t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 xml:space="preserve">Poprawa dostępności do usług publicznych świadczonych przez jst </w:t>
            </w: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dla osób z niepełnosprawnościami</w:t>
            </w:r>
          </w:p>
        </w:tc>
      </w:tr>
      <w:tr w:rsidR="00E83A8B" w:rsidRPr="00E83A8B" w:rsidTr="00056B2B">
        <w:trPr>
          <w:trHeight w:val="636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Kamienie milowe projektu</w:t>
            </w:r>
            <w:r w:rsidRPr="00E83A8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83A8B">
              <w:rPr>
                <w:rFonts w:ascii="Arial" w:hAnsi="Arial" w:cs="Arial"/>
                <w:bCs/>
                <w:sz w:val="24"/>
                <w:szCs w:val="24"/>
              </w:rPr>
              <w:t>W ramach projektu zrealizowane zostaną następujące kamienie milowe: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83A8B">
              <w:rPr>
                <w:rFonts w:ascii="Arial" w:hAnsi="Arial" w:cs="Arial"/>
                <w:bCs/>
                <w:sz w:val="24"/>
                <w:szCs w:val="24"/>
              </w:rPr>
              <w:t>I kamień milowy: Przygotowanie i ogłoszenie otwartego naboru  grantobiorców – 3 miesiące od rozpoczęcia projektu;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83A8B">
              <w:rPr>
                <w:rFonts w:ascii="Arial" w:hAnsi="Arial" w:cs="Arial"/>
                <w:bCs/>
                <w:sz w:val="24"/>
                <w:szCs w:val="24"/>
              </w:rPr>
              <w:t>II kamień milowy: Przeprowadzenie i rozstrzygnięcie otwartego naboru grantobiorców oraz podpisanie umów o powierzenie grantów – 11 miesięcy od rozpoczęcia projektu;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3A8B">
              <w:rPr>
                <w:rFonts w:ascii="Arial" w:hAnsi="Arial" w:cs="Arial"/>
                <w:bCs/>
                <w:sz w:val="24"/>
                <w:szCs w:val="24"/>
              </w:rPr>
              <w:t>III kamień milowy: Realizacja i rozliczenie powierzonych grantobiorcom grantów – 27 miesięcy od rozpoczęcia projektu.</w:t>
            </w:r>
          </w:p>
        </w:tc>
      </w:tr>
      <w:tr w:rsidR="00E83A8B" w:rsidRPr="00E83A8B" w:rsidTr="00056B2B">
        <w:trPr>
          <w:trHeight w:val="636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Podmiot zgłaszający projekt</w:t>
            </w:r>
            <w:r w:rsidRPr="00E83A8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Instytucja Pośrednicząca</w:t>
            </w:r>
          </w:p>
        </w:tc>
      </w:tr>
      <w:tr w:rsidR="00E83A8B" w:rsidRPr="00E83A8B" w:rsidTr="00056B2B">
        <w:trPr>
          <w:trHeight w:val="434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Podmiot, który będzie wnioskodawcą</w:t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Państwowy Fundusz Rehabilitacji Osób Niepełnosprawnych</w:t>
            </w:r>
          </w:p>
        </w:tc>
      </w:tr>
      <w:tr w:rsidR="00E83A8B" w:rsidRPr="00E83A8B" w:rsidTr="00056B2B">
        <w:trPr>
          <w:trHeight w:val="434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Uzasadnienie wyboru podmiotu, który będzie wnioskodawcą</w:t>
            </w:r>
            <w:r w:rsidRPr="00E83A8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Państwowy Fundusz Rehabilitacji Osób Niepełnosprawnych (zwany dalej PFRON) jest państwowym funduszem celowym, posiadającym osobowość prawną. PFRON działa na podstawie ustawy z dnia 27 sierpnia 1997 r. o rehabilitacji zawodowej i społecznej oraz zatrudnianiu osób niepełnosprawnych (Dz. U. z 2020 r., poz. 426), zwanej dalej ustawą.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Celem PFRON jest wyrównywanie szans i poszanowanie praw osób z niepełnosprawnościami. PFRON jest instytucją publiczną, efektywnie realizującą swoje podstawowe działania oraz inicjującą innowacyjne na skalę polską i europejską projekty nakierowane na rozwiązywanie problemów osób z niepełnosprawnościami. 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Zgodnie z Ustawą zadania PFRON obejmują m.in.:</w:t>
            </w:r>
          </w:p>
          <w:p w:rsidR="00E83A8B" w:rsidRPr="00E83A8B" w:rsidRDefault="00E83A8B" w:rsidP="00E83A8B">
            <w:pPr>
              <w:numPr>
                <w:ilvl w:val="0"/>
                <w:numId w:val="23"/>
              </w:numPr>
              <w:spacing w:before="120" w:after="12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wsparcie pracodawców otwartego i chronionego rynku pracy zatrudniających niepełnosprawnych pracowników oraz osoby niepełnosprawne prowadzące działalność gospodarczą lub rolniczą,</w:t>
            </w:r>
          </w:p>
          <w:p w:rsidR="00E83A8B" w:rsidRPr="00E83A8B" w:rsidRDefault="00E83A8B" w:rsidP="00E83A8B">
            <w:pPr>
              <w:numPr>
                <w:ilvl w:val="0"/>
                <w:numId w:val="23"/>
              </w:numPr>
              <w:spacing w:before="120" w:after="12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dofinansowanie działalności warsztatów terapii zajęciowej i zakładów aktywności zawodowej,</w:t>
            </w:r>
          </w:p>
          <w:p w:rsidR="00E83A8B" w:rsidRPr="00E83A8B" w:rsidRDefault="00E83A8B" w:rsidP="00E83A8B">
            <w:pPr>
              <w:numPr>
                <w:ilvl w:val="0"/>
                <w:numId w:val="23"/>
              </w:numPr>
              <w:spacing w:before="120" w:after="12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dofinansowania potrzeb indywidualnych osób niepełnosprawnych w zakresie rehabilitacji społecznej (turnusy, sprzęt rehabilitacyjny, przedmioty ortopedyczne i środki pomocnicze, usługi tłumacza języka migowego i tłumacza przewodnika, likwidacja barier architektonicznych, w komunikowaniu się i technicznych w miejscu zamieszkania wnioskodawcy),</w:t>
            </w:r>
          </w:p>
          <w:p w:rsidR="00E83A8B" w:rsidRPr="00E83A8B" w:rsidRDefault="00E83A8B" w:rsidP="00E83A8B">
            <w:pPr>
              <w:numPr>
                <w:ilvl w:val="0"/>
                <w:numId w:val="23"/>
              </w:numPr>
              <w:spacing w:before="120" w:after="12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 xml:space="preserve">dofinansowanie robót budowlanych w rozumieniu przepisów ustawy z dnia 7 lipca 1994 r. - Prawo budowlane ustawy z dnia 7 lipca 1994 r. – Prawo budowlane, dotyczących obiektów służących rehabilitacji, w związku z potrzebami osób niepełnosprawnych z wyjątkiem rozbiórki tych obiektów, </w:t>
            </w:r>
          </w:p>
          <w:p w:rsidR="00E83A8B" w:rsidRPr="00E83A8B" w:rsidRDefault="00E83A8B" w:rsidP="00E83A8B">
            <w:pPr>
              <w:numPr>
                <w:ilvl w:val="0"/>
                <w:numId w:val="23"/>
              </w:numPr>
              <w:spacing w:before="120" w:after="120" w:line="360" w:lineRule="auto"/>
              <w:ind w:left="714" w:hanging="357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dofinansowanie zadań z zakresu rehabilitacji zawodowej i społecznej osób niepełnosprawnych, realizowanych przez fundacje i organizacje pozarządowe,</w:t>
            </w:r>
          </w:p>
          <w:p w:rsidR="00E83A8B" w:rsidRPr="00E83A8B" w:rsidRDefault="00E83A8B" w:rsidP="00E83A8B">
            <w:pPr>
              <w:numPr>
                <w:ilvl w:val="0"/>
                <w:numId w:val="23"/>
              </w:numPr>
              <w:spacing w:before="120" w:after="120" w:line="360" w:lineRule="auto"/>
              <w:ind w:left="714" w:hanging="357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 xml:space="preserve">realizację programów na rzecz osób niepełnosprawnych, wspieranych ze środków pomocowych Unii Europejskiej, </w:t>
            </w:r>
          </w:p>
          <w:p w:rsidR="00E83A8B" w:rsidRPr="00E83A8B" w:rsidRDefault="00E83A8B" w:rsidP="00E83A8B">
            <w:pPr>
              <w:numPr>
                <w:ilvl w:val="0"/>
                <w:numId w:val="23"/>
              </w:numPr>
              <w:spacing w:before="120" w:after="120" w:line="360" w:lineRule="auto"/>
              <w:ind w:left="714" w:hanging="357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dofinansowanie zadań wynikających z programów rządowych, w tym ukierunkowanych na rozwój zasobów ludzkich oraz przeciwdziałanie wykluczeniu społecznemu osób niepełnosprawnych, </w:t>
            </w:r>
          </w:p>
          <w:p w:rsidR="00E83A8B" w:rsidRPr="00E83A8B" w:rsidRDefault="00E83A8B" w:rsidP="00E83A8B">
            <w:pPr>
              <w:numPr>
                <w:ilvl w:val="0"/>
                <w:numId w:val="23"/>
              </w:numPr>
              <w:spacing w:before="120" w:after="120" w:line="360" w:lineRule="auto"/>
              <w:ind w:left="714" w:hanging="357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realizację programów zatwierdzonych przez Radę Nadzorczą, służących rehabilitacji społecznej i zawodowej, wyrównywaniu różnic między regionami – w szczególności poprawiających dostępność architektoniczną oraz w zakresie komunikowania się w  urzędach, placówkach edukacyjnych i środowiskowych domach samopomocy, w szczególności adresowane do osób niepełnosprawnych oraz do ich rodzin.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W roku 2019 przychody PFRON stanowiły 5,8 mld zł, natomiast wydatki 5,4 mld zł. Środki Funduszu pozwoliły w 2019 r. m.in. na:</w:t>
            </w:r>
          </w:p>
          <w:p w:rsidR="00E83A8B" w:rsidRPr="00E83A8B" w:rsidRDefault="00E83A8B" w:rsidP="00E83A8B">
            <w:pPr>
              <w:numPr>
                <w:ilvl w:val="0"/>
                <w:numId w:val="24"/>
              </w:numPr>
              <w:spacing w:before="120" w:after="120" w:line="360" w:lineRule="auto"/>
              <w:ind w:left="714" w:hanging="357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dofinansowanie wynagrodzeń 247 tys. osób niepełnosprawnych (według stanu na listopad 2019 r.),</w:t>
            </w:r>
          </w:p>
          <w:p w:rsidR="00E83A8B" w:rsidRPr="00E83A8B" w:rsidRDefault="00E83A8B" w:rsidP="00E83A8B">
            <w:pPr>
              <w:numPr>
                <w:ilvl w:val="0"/>
                <w:numId w:val="24"/>
              </w:numPr>
              <w:spacing w:before="120" w:after="120" w:line="360" w:lineRule="auto"/>
              <w:ind w:left="714" w:hanging="357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objęcie rehabilitacją 1,09 mln osób niepełnosprawnych, w tym 370,5 tys. rehabilitacją zawodową,</w:t>
            </w:r>
          </w:p>
          <w:p w:rsidR="00E83A8B" w:rsidRPr="00E83A8B" w:rsidRDefault="00E83A8B" w:rsidP="00E83A8B">
            <w:pPr>
              <w:numPr>
                <w:ilvl w:val="0"/>
                <w:numId w:val="24"/>
              </w:numPr>
              <w:spacing w:before="120" w:after="120" w:line="360" w:lineRule="auto"/>
              <w:ind w:left="714" w:hanging="357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realizację 10 programów, zatwierdzonych przez Radę Nadzorczą PFRON, służących rehabilitacji społecznej i zawodowej osób niepełnosprawnych.</w:t>
            </w:r>
          </w:p>
          <w:p w:rsidR="00E83A8B" w:rsidRPr="00E83A8B" w:rsidRDefault="00E83A8B" w:rsidP="00E83A8B">
            <w:pPr>
              <w:spacing w:before="240" w:after="240" w:line="360" w:lineRule="auto"/>
            </w:pPr>
            <w:bookmarkStart w:id="0" w:name="_Hlk61615328"/>
            <w:r w:rsidRPr="00E83A8B">
              <w:rPr>
                <w:rFonts w:ascii="Arial" w:hAnsi="Arial" w:cs="Arial"/>
                <w:sz w:val="24"/>
                <w:szCs w:val="24"/>
              </w:rPr>
              <w:t xml:space="preserve">Mając na uwadze strategiczne znaczenie przedsięwzięć zaplanowanych w projekcie dla samorządu terytorialnego, wynikające z zapisów rządowego programu Dostępność Plus oraz ustawy z dnia 19 lipca 2019 r. o zapewnianiu dostępności osobom ze szczególnymi potrzebami (Dz. U. z 2020 r., poz. 1062), należy podkreślić systemowy charakter projektu oraz wieloletnie doświadczenie PFRON we wspieraniu osób z niepełnosprawnościami oraz we współpracy z samorządami terytorialnymi, </w:t>
            </w:r>
            <w:bookmarkEnd w:id="0"/>
            <w:r w:rsidRPr="00E83A8B">
              <w:rPr>
                <w:rFonts w:ascii="Arial" w:hAnsi="Arial" w:cs="Arial"/>
                <w:sz w:val="24"/>
                <w:szCs w:val="24"/>
              </w:rPr>
              <w:t xml:space="preserve">a także jego istotną rolę w realizacji programu </w:t>
            </w: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 xml:space="preserve">Dostępność Plus </w:t>
            </w:r>
          </w:p>
        </w:tc>
      </w:tr>
      <w:tr w:rsidR="00E83A8B" w:rsidRPr="00E83A8B" w:rsidTr="00056B2B">
        <w:trPr>
          <w:trHeight w:val="434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Czy projekt będzie realizowany w partnerstwie?</w:t>
            </w:r>
          </w:p>
        </w:tc>
        <w:tc>
          <w:tcPr>
            <w:tcW w:w="18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X</w:t>
            </w:r>
          </w:p>
        </w:tc>
      </w:tr>
      <w:tr w:rsidR="00E83A8B" w:rsidRPr="00E83A8B" w:rsidTr="00056B2B">
        <w:trPr>
          <w:trHeight w:val="434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Podmioty, które będą partnerami </w:t>
            </w:r>
            <w:r w:rsidRPr="00E83A8B">
              <w:rPr>
                <w:rFonts w:ascii="Arial" w:hAnsi="Arial" w:cs="Arial"/>
                <w:sz w:val="24"/>
                <w:szCs w:val="24"/>
              </w:rPr>
              <w:br/>
              <w:t xml:space="preserve">w projekcie </w:t>
            </w:r>
            <w:r w:rsidRPr="00E83A8B">
              <w:rPr>
                <w:rFonts w:ascii="Arial" w:hAnsi="Arial" w:cs="Arial"/>
                <w:sz w:val="24"/>
                <w:szCs w:val="24"/>
              </w:rPr>
              <w:br/>
              <w:t>i uzasadnienie ich wyboru</w:t>
            </w:r>
            <w:r w:rsidRPr="00E83A8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Nie dotyczy</w:t>
            </w:r>
          </w:p>
        </w:tc>
      </w:tr>
      <w:tr w:rsidR="00E83A8B" w:rsidRPr="00E83A8B" w:rsidTr="00056B2B">
        <w:trPr>
          <w:trHeight w:val="434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Czy projekt będzie projektem grantowym?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3A8B" w:rsidRPr="00E83A8B" w:rsidTr="00056B2B">
        <w:trPr>
          <w:trHeight w:val="434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Przewidywany termin </w:t>
            </w:r>
            <w:r w:rsidRPr="00E83A8B">
              <w:rPr>
                <w:rFonts w:ascii="Arial" w:hAnsi="Arial" w:cs="Arial"/>
                <w:sz w:val="24"/>
                <w:szCs w:val="24"/>
              </w:rPr>
              <w:br/>
              <w:t xml:space="preserve">złożenia wniosku </w:t>
            </w:r>
            <w:r w:rsidRPr="00E83A8B">
              <w:rPr>
                <w:rFonts w:ascii="Arial" w:hAnsi="Arial" w:cs="Arial"/>
                <w:sz w:val="24"/>
                <w:szCs w:val="24"/>
              </w:rPr>
              <w:br/>
              <w:t>o dofinansowanie</w:t>
            </w:r>
            <w:r w:rsidRPr="00E83A8B">
              <w:rPr>
                <w:rFonts w:ascii="Arial" w:hAnsi="Arial" w:cs="Arial"/>
                <w:sz w:val="24"/>
                <w:szCs w:val="24"/>
              </w:rPr>
              <w:br/>
              <w:t>(kwartał albo miesiąc oraz rok)</w:t>
            </w:r>
          </w:p>
        </w:tc>
        <w:tc>
          <w:tcPr>
            <w:tcW w:w="737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II kwartał 2021 r.</w:t>
            </w:r>
          </w:p>
        </w:tc>
      </w:tr>
      <w:tr w:rsidR="00E83A8B" w:rsidRPr="00E83A8B" w:rsidTr="00056B2B">
        <w:trPr>
          <w:trHeight w:val="469"/>
        </w:trPr>
        <w:tc>
          <w:tcPr>
            <w:tcW w:w="1982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Przewidywany okres realizacji </w:t>
            </w: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 xml:space="preserve">projektu </w:t>
            </w:r>
          </w:p>
        </w:tc>
        <w:tc>
          <w:tcPr>
            <w:tcW w:w="1832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 xml:space="preserve">Data rozpoczęcia (miesiąc oraz </w:t>
            </w: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rok)</w:t>
            </w:r>
          </w:p>
        </w:tc>
        <w:tc>
          <w:tcPr>
            <w:tcW w:w="1846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VII 2021 r.</w:t>
            </w:r>
          </w:p>
        </w:tc>
        <w:tc>
          <w:tcPr>
            <w:tcW w:w="1850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Data zakończenia (miesiąc oraz </w:t>
            </w: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rok)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IX 2023 r.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lastRenderedPageBreak/>
              <w:t>SZACOWANY BUDŻET PROJEKTU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Szacowana kwota wydatków w projekcie w podziale na lata i ogółem (PLN)</w:t>
            </w:r>
          </w:p>
        </w:tc>
      </w:tr>
      <w:tr w:rsidR="00E83A8B" w:rsidRPr="00E83A8B" w:rsidTr="00056B2B">
        <w:trPr>
          <w:trHeight w:val="567"/>
        </w:trPr>
        <w:tc>
          <w:tcPr>
            <w:tcW w:w="233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 roku 2021</w:t>
            </w:r>
          </w:p>
        </w:tc>
        <w:tc>
          <w:tcPr>
            <w:tcW w:w="23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 roku 2022</w:t>
            </w:r>
          </w:p>
        </w:tc>
        <w:tc>
          <w:tcPr>
            <w:tcW w:w="23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 roku 2023</w:t>
            </w:r>
          </w:p>
        </w:tc>
        <w:tc>
          <w:tcPr>
            <w:tcW w:w="23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Ogółem</w:t>
            </w:r>
          </w:p>
        </w:tc>
      </w:tr>
      <w:tr w:rsidR="00E83A8B" w:rsidRPr="00E83A8B" w:rsidTr="00056B2B">
        <w:trPr>
          <w:trHeight w:val="567"/>
        </w:trPr>
        <w:tc>
          <w:tcPr>
            <w:tcW w:w="233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tabs>
                <w:tab w:val="left" w:pos="455"/>
              </w:tabs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1 550 000</w:t>
            </w:r>
          </w:p>
        </w:tc>
        <w:tc>
          <w:tcPr>
            <w:tcW w:w="23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80 600 000</w:t>
            </w:r>
          </w:p>
        </w:tc>
        <w:tc>
          <w:tcPr>
            <w:tcW w:w="23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2 550 000</w:t>
            </w:r>
          </w:p>
        </w:tc>
        <w:tc>
          <w:tcPr>
            <w:tcW w:w="23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84 700 000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Szacowany wkład własny beneficjenta (PLN)</w:t>
            </w:r>
          </w:p>
        </w:tc>
      </w:tr>
      <w:tr w:rsidR="00E83A8B" w:rsidRPr="00E83A8B" w:rsidTr="00056B2B">
        <w:trPr>
          <w:trHeight w:val="567"/>
        </w:trPr>
        <w:tc>
          <w:tcPr>
            <w:tcW w:w="113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TAK </w:t>
            </w:r>
          </w:p>
        </w:tc>
        <w:tc>
          <w:tcPr>
            <w:tcW w:w="510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  <w:tc>
          <w:tcPr>
            <w:tcW w:w="19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Szacowany wkład UE (PLN)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71 385 160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OPIS PROJEKTU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Uzasadnienie realizacji projektu w trybie pozakonkursowym</w:t>
            </w:r>
            <w:r w:rsidRPr="00E83A8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7"/>
            </w:r>
            <w:r w:rsidRPr="00E83A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Projekt służy bezpośrednio realizacji polityki państwa, określonej w ustawie z dnia 19 lipca 2019 r. o zapewnianiu dostępności osobom ze szczególnymi potrzebami (dalej: ustawa</w:t>
            </w:r>
            <w:r w:rsidRPr="00E83A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3A8B">
              <w:rPr>
                <w:rFonts w:ascii="Arial" w:hAnsi="Arial" w:cs="Arial"/>
                <w:iCs/>
                <w:sz w:val="24"/>
                <w:szCs w:val="24"/>
              </w:rPr>
              <w:t>o dostępności) oraz w dokumencie strategicznym - Programie Dostępność Plus.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 xml:space="preserve">Zgodnie z art. 3 ustawy o dostępności, wszystkie podmioty administracji publicznej, w tym jednostki samorządu terytorialnego, są zobowiązane do zapewnienia dostępności osobom ze szczególnymi potrzebami. Zgodnie z art. 6 ustawy o dostępności, </w:t>
            </w:r>
            <w:r w:rsidRPr="00E83A8B">
              <w:rPr>
                <w:rFonts w:ascii="Arial" w:hAnsi="Arial" w:cs="Arial"/>
                <w:iCs/>
                <w:sz w:val="24"/>
                <w:szCs w:val="24"/>
              </w:rPr>
              <w:lastRenderedPageBreak/>
              <w:t>obowiązek ten obejmuje spełnienie minimalnych wymagań w zakresie dostępności architektonicznej, cyfrowej i informacyjno-komunikacyjnej.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Ze względu na bardzo zróżnicowaną sytuację finansową oraz lokalową urzędów jst, istnieje potrzeba udzielania im wsparcia w realizacji obowiązków określonych w ustawie o dostępności, które często pociągają za sobą poważne wydatki, trudne do sfinansowania wyłącznie z budżetu danej jst, zwłaszcza w kontekście obniżenia dochodów samorządów terytorialnych w wyniku epidemii COVID. Wsparcie to jest więc niezbędne, aby zapewnić skuteczne wdrożenie ustawy o dostępności, a tym samym osiągnięcie celów Programu Dostępność Plus.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Projekt stanowi ważne narzędzie wsparcia polityki w zakresie dostępności. Ze względu na jego istotną rolę we wdrażaniu Programu Dostępność Plus i potrzebę zapewnienia jego komplementarności i synergii z innymi działaniami w tym zakresie podejmowanymi przez Instytucję Pośredniczącą (MSWiA) oraz PFRON, projekt będzie realizowany jako pozakonkursowy.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Zasadnicze założenia interwencji publicznej, której wsparcie zaplanowano w ramach projektu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Celem projektu jest poprawa dostępności do usług publicznych świadczonych przez jst dla osób ze szczególnymi potrzebami, w tym osób z niepełnosprawnościami, poprzez wsparcie jst w spełnieniu wymogów dostępności określonych w ustawie o dostępności. 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Cel projektu zostanie zrealizowany poprzez przyznanie finansowania w postaci grantów dla 620 jednostek samorządu terytorialnego, wybranych w ogólnopolskim otwartym naborze grantobiorców, zgodnie z zasadami określonymi w art. 35 i 36 ustawy z dnia 11 lipca 2014 r. o zasadach realizacji programów w zakresie polityki spójności finansowanych w perspektywie finansowej 2014–2020 (Dz. U. z 2020, poz. 818).</w:t>
            </w:r>
            <w:r w:rsidRPr="00E83A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Granty będą służyły</w:t>
            </w:r>
            <w:r w:rsidRPr="00E83A8B">
              <w:rPr>
                <w:rFonts w:ascii="Arial" w:hAnsi="Arial" w:cs="Arial"/>
                <w:sz w:val="24"/>
                <w:szCs w:val="24"/>
              </w:rPr>
              <w:t xml:space="preserve"> zwiększeniu dostępności do usług publicznych świadczonych przez grantobiorcę.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Przewiduje się przyznanie 520 grantów w wysokości maksymalnej 100 000 zł oraz 100 grantów, przeznaczonych na dostosowania architektoniczne o większej skali, w </w:t>
            </w: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 xml:space="preserve">wysokości maksymalnej 250 000 zł. W przypadku grantów w wysokości przekraczającej 100 000 zł </w:t>
            </w:r>
            <w:proofErr w:type="spellStart"/>
            <w:r w:rsidRPr="00E83A8B">
              <w:rPr>
                <w:rFonts w:ascii="Arial" w:hAnsi="Arial" w:cs="Arial"/>
                <w:sz w:val="24"/>
                <w:szCs w:val="24"/>
              </w:rPr>
              <w:t>grantobiorca</w:t>
            </w:r>
            <w:proofErr w:type="spellEnd"/>
            <w:r w:rsidRPr="00E83A8B">
              <w:rPr>
                <w:rFonts w:ascii="Arial" w:hAnsi="Arial" w:cs="Arial"/>
                <w:sz w:val="24"/>
                <w:szCs w:val="24"/>
              </w:rPr>
              <w:t xml:space="preserve"> będzie zobowiązany do sfinansowania z innych środków części zaplanowanych dostosowań w kwocie stanowiącej równowartość co najmniej 20% kwoty grantu.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Wydatki na cross-</w:t>
            </w:r>
            <w:proofErr w:type="spellStart"/>
            <w:r w:rsidRPr="00E83A8B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E83A8B">
              <w:rPr>
                <w:rFonts w:ascii="Arial" w:hAnsi="Arial" w:cs="Arial"/>
                <w:sz w:val="24"/>
                <w:szCs w:val="24"/>
              </w:rPr>
              <w:t xml:space="preserve"> wyniosą nie więcej niż 60% wydatków kwalifikowalnych projektu, zaś łącznie wydatki na cross-</w:t>
            </w:r>
            <w:proofErr w:type="spellStart"/>
            <w:r w:rsidRPr="00E83A8B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E83A8B">
              <w:rPr>
                <w:rFonts w:ascii="Arial" w:hAnsi="Arial" w:cs="Arial"/>
                <w:sz w:val="24"/>
                <w:szCs w:val="24"/>
              </w:rPr>
              <w:t xml:space="preserve"> i środki trwałe wyniosą nie więcej niż 70% wydatków kwalifikowalnych projektu.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Katalog kosztów, które będą mogły zostać objęte grantem, będzie obejmował wydatki przeznaczone na: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ind w:left="357" w:hanging="357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zapewnienie wolnych od barier poziomych i pionowych przestrzeni komunikacyjnych budynków,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ind w:left="357" w:hanging="357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instalację urządzeń lub zastosowanie środków technicznych i rozwiązań architektonicznych w budynku, które umożliwiają dostęp do wszystkich pomieszczeń, z wyłączeniem pomieszczeń technicznych,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ind w:left="357" w:hanging="357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zapewnienie informacji na temat rozkładu pomieszczeń w budynku, co najmniej w sposób wizualny i dotykowy lub głosowy,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ind w:left="357" w:hanging="357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zapewnienie osobom ze szczególnymi potrzebami możliwości ewakuacji lub ich uratowania w inny sposób,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ind w:left="357" w:hanging="357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zapewnienie dostępności cyfrowej, poprzez spełnienie</w:t>
            </w:r>
            <w:r w:rsidRPr="00E83A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wymagań określonych w ustawie</w:t>
            </w:r>
            <w:r w:rsidRPr="00E83A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 dnia 4 kwietnia 2019 r. o dostępności cyfrowej stron internetowych i aplikacji mobilnych podmiotów publicznych (Dz. U. z 2019 r., poz. 848),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ind w:left="357" w:hanging="357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obsługę osób korzystających z usług jst z wykorzystaniem środków wspierających komunikowanie się, o których mowa w art. 3 pkt 5 ustawy z dnia 19 sierpnia 2011 r. o języku migowym i innych środkach komunikowania się (Dz. U. z 2017 r. poz. 1824), lub przez wykorzystanie zdalnego dostępu online do usługi tłumacza przez strony internetowe i aplikacje,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instalację urządzeń lub innych środków technicznych do obsługi osób słabosłyszących, w szczególności pętli indukcyjnych, systemów FM lub urządzeń opartych o inne technologie, których celem jest wspomaganie słyszenia,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lastRenderedPageBreak/>
              <w:t>zapewnienie na stronie internetowej jst informacji o zakresie jej działalności – w postaci elektronicznego pliku zawierającego tekst odczytywalny maszynowo, nagrania treści w polskim języku migowym oraz informacji w tekście łatwym do czytania,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zapewnienie, na wniosek osoby ze szczególnymi potrzebami, komunikacji z jst w formie określonej w tym wniosku,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240" w:after="240" w:line="360" w:lineRule="auto"/>
              <w:contextualSpacing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koszty przygotowania projektu oraz koszty doradztwa w zakresie dostępności w trakcie realizacji projektu.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Uprawnione do uzyskania grantu będą jst, które nie później niż w dniu złożenia wniosku o grant wyznaczą osobę pełniącą funkcję koordynatora do spraw dostępności oraz opublikują na swojej stronie podmiotowej Biuletynu Informacji Publicznej raport o stanie zapewniania dostępności osobom ze szczególnymi potrzebami.</w:t>
            </w:r>
          </w:p>
          <w:p w:rsidR="00E83A8B" w:rsidRPr="00E83A8B" w:rsidRDefault="00E83A8B" w:rsidP="00E83A8B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Wsparcie w ramach projektu będzie skierowane w sposób priorytetowy do: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jst znajdujących się w trudnej sytuacji finansowej, poprzez przyznanie punktów premiujących dla jst o niższym niż średni wskaźniku dochodów podatkowych na mieszkańca (liczba punktów zależna od wysokości wskaźnika);</w:t>
            </w:r>
          </w:p>
          <w:p w:rsidR="00E83A8B" w:rsidRPr="00E83A8B" w:rsidRDefault="00E83A8B" w:rsidP="00E83A8B">
            <w:pPr>
              <w:numPr>
                <w:ilvl w:val="0"/>
                <w:numId w:val="19"/>
              </w:num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jst o wysokim poziomie zaangażowania w zakresie zapewniania dostępności, poprzez przyznanie punktów premiujących dla:</w:t>
            </w:r>
          </w:p>
          <w:p w:rsidR="00E83A8B" w:rsidRPr="00E83A8B" w:rsidRDefault="00E83A8B" w:rsidP="00E83A8B">
            <w:pPr>
              <w:numPr>
                <w:ilvl w:val="1"/>
                <w:numId w:val="19"/>
              </w:numPr>
              <w:spacing w:before="120" w:after="120" w:line="360" w:lineRule="auto"/>
              <w:ind w:left="1077" w:hanging="357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jst, które biorą lub wzięły udział w realizacji projektu pozakonkursowego MSWiA „Samorząd bez barier” nr POWR.02.18.00-00-0001/20 lub projektów wyłonionych w konkursie POWR.02.18.00-IP.01-00-001/20; </w:t>
            </w:r>
          </w:p>
          <w:p w:rsidR="00E83A8B" w:rsidRPr="00E83A8B" w:rsidRDefault="00E83A8B" w:rsidP="00E83A8B">
            <w:pPr>
              <w:numPr>
                <w:ilvl w:val="1"/>
                <w:numId w:val="19"/>
              </w:numPr>
              <w:spacing w:before="120" w:after="120" w:line="360" w:lineRule="auto"/>
              <w:ind w:left="1077" w:hanging="357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jst, które opublikowały Plan działania na rzecz poprawy zapewnienia dostępności osobom ze szczególnymi potrzebami;</w:t>
            </w:r>
          </w:p>
          <w:p w:rsidR="00E83A8B" w:rsidRPr="00E83A8B" w:rsidRDefault="00E83A8B" w:rsidP="00E83A8B">
            <w:pPr>
              <w:numPr>
                <w:ilvl w:val="1"/>
                <w:numId w:val="19"/>
              </w:numPr>
              <w:spacing w:before="120" w:after="120" w:line="360" w:lineRule="auto"/>
              <w:ind w:left="1077" w:hanging="357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jst, które zgłoszą do finansowania projekty o wysokim stopniu przygotowania do realizacji.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 xml:space="preserve">Jednostki samorządu terytorialnego wnioskujące o udzielenie grantu zobowiązane będą do skorzystania z doradztwa świadczonego przez Ośrodek wsparcia dla podmiotów publicznych z zakresu dostępności architektonicznej budynków i przestrzeni publicznych lub skorzystać z doradztwa innego podmiotu albo eksperta, </w:t>
            </w: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posiadającego doświadczenie w prowadzeniu działań na rzecz zapewniania dostępności. JST wnioskująca o grant będzie zobowiązana do wskazania we wniosku o udzielenie grantu, z jakiego wsparcia doradczego zamierza skorzystać na etapie realizacji projektu.</w:t>
            </w:r>
          </w:p>
        </w:tc>
      </w:tr>
      <w:tr w:rsidR="00E83A8B" w:rsidRPr="00E83A8B" w:rsidTr="00056B2B">
        <w:trPr>
          <w:trHeight w:val="636"/>
        </w:trPr>
        <w:tc>
          <w:tcPr>
            <w:tcW w:w="9356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61952061"/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Główne zadania przewidziane do realizacji w projekcie ze wskazaniem grup docelowych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3A8B" w:rsidRPr="00E83A8B" w:rsidRDefault="00E83A8B" w:rsidP="00E83A8B">
            <w:pPr>
              <w:autoSpaceDE w:val="0"/>
              <w:autoSpaceDN w:val="0"/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 xml:space="preserve">Grupą docelową projektu są jednostki samorządu terytorialnego wszystkich szczebli: 16 województw, 314 powiatów i 2 477 gmin (302 miejskich, w tym 66 miast na prawach powiatu, 652 miejsko-wiejskich oraz 1 523 wiejskich). Wsparcie będzie przeznaczone na podniesienie dostępności dla osób ze szczególnymi potrzebami usług świadczonych przez urzędy marszałkowskie, starostwa powiatowe oraz urzędy miejskie i gminne oraz jednostki organizacyjne jst, które nie były objęte wsparciem </w:t>
            </w:r>
            <w:r w:rsidRPr="00E83A8B">
              <w:rPr>
                <w:rFonts w:ascii="Arial" w:hAnsi="Arial" w:cs="Arial"/>
                <w:iCs/>
                <w:sz w:val="24"/>
                <w:szCs w:val="24"/>
              </w:rPr>
              <w:br/>
              <w:t>z zakresu poprawy dostępności w ramach innych programów/projektów współfinansowanych ze środków Europejskiego Funduszu Społecznego.</w:t>
            </w:r>
          </w:p>
          <w:p w:rsidR="00E83A8B" w:rsidRPr="00E83A8B" w:rsidRDefault="00E83A8B" w:rsidP="00E83A8B">
            <w:pPr>
              <w:autoSpaceDE w:val="0"/>
              <w:autoSpaceDN w:val="0"/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W ramach projektu zrealizowane zostaną następujące zadania:</w:t>
            </w:r>
          </w:p>
          <w:p w:rsidR="00E83A8B" w:rsidRPr="00E83A8B" w:rsidRDefault="00E83A8B" w:rsidP="00E83A8B">
            <w:p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W ramach kamienia milowego I: Przygotowanie i ogłoszenie otwartego naboru grantobiorców (przewidywany okres realizacji: 3 miesiące):</w:t>
            </w:r>
          </w:p>
          <w:p w:rsidR="00E83A8B" w:rsidRPr="00E83A8B" w:rsidRDefault="00E83A8B" w:rsidP="00E83A8B">
            <w:pPr>
              <w:numPr>
                <w:ilvl w:val="0"/>
                <w:numId w:val="20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Przygotowanie regulaminu otwartego naboru grantobiorców, wzoru wniosku o powierzenie grantu oraz umowy o powierzenie grantu; dokumentacja konkursowa zostanie przygotowana we współpracy pracowników PFRON oraz ekspertów zewnętrznych;</w:t>
            </w:r>
          </w:p>
          <w:p w:rsidR="00E83A8B" w:rsidRPr="00E83A8B" w:rsidRDefault="00E83A8B" w:rsidP="00E83A8B">
            <w:pPr>
              <w:numPr>
                <w:ilvl w:val="0"/>
                <w:numId w:val="20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Zatwierdzenie dokumentacji otwartego naboru grantobiorców;</w:t>
            </w:r>
          </w:p>
          <w:p w:rsidR="00E83A8B" w:rsidRPr="00E83A8B" w:rsidRDefault="00E83A8B" w:rsidP="00E83A8B">
            <w:pPr>
              <w:numPr>
                <w:ilvl w:val="0"/>
                <w:numId w:val="20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Akcja informacyjna skierowania do wszystkich jst;</w:t>
            </w:r>
          </w:p>
          <w:p w:rsidR="00E83A8B" w:rsidRPr="00E83A8B" w:rsidRDefault="00E83A8B" w:rsidP="00E83A8B">
            <w:pPr>
              <w:numPr>
                <w:ilvl w:val="0"/>
                <w:numId w:val="20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Uruchomienie punktu informacyjnego dla wnioskodawców;</w:t>
            </w:r>
          </w:p>
          <w:p w:rsidR="00E83A8B" w:rsidRPr="00E83A8B" w:rsidRDefault="00E83A8B" w:rsidP="00E83A8B">
            <w:pPr>
              <w:numPr>
                <w:ilvl w:val="0"/>
                <w:numId w:val="20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Uruchomienie generatora wniosków na wynajętej do tego celu platformie internetowej;</w:t>
            </w:r>
          </w:p>
          <w:p w:rsidR="00E83A8B" w:rsidRPr="00E83A8B" w:rsidRDefault="00E83A8B" w:rsidP="00E83A8B">
            <w:pPr>
              <w:numPr>
                <w:ilvl w:val="0"/>
                <w:numId w:val="20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lastRenderedPageBreak/>
              <w:t>Ogłoszenie otwartego naboru grantobiorców.</w:t>
            </w:r>
          </w:p>
          <w:p w:rsidR="00E83A8B" w:rsidRPr="00E83A8B" w:rsidRDefault="00E83A8B" w:rsidP="00E83A8B">
            <w:p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W ramach kamienia milowego II: Przeprowadzenie i rozstrzygnięcie otwartego naboru grantobiorców oraz podpisanie umów o powierzenie grantów (przewidywany okres realizacji – 8 miesięcy:</w:t>
            </w:r>
          </w:p>
          <w:p w:rsidR="00E83A8B" w:rsidRPr="00E83A8B" w:rsidRDefault="00E83A8B" w:rsidP="00E83A8B">
            <w:pPr>
              <w:numPr>
                <w:ilvl w:val="0"/>
                <w:numId w:val="21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Udzielanie odpowiedzi na pytania wnioskodawców;</w:t>
            </w:r>
          </w:p>
          <w:p w:rsidR="00E83A8B" w:rsidRPr="00E83A8B" w:rsidRDefault="00E83A8B" w:rsidP="00E83A8B">
            <w:pPr>
              <w:numPr>
                <w:ilvl w:val="0"/>
                <w:numId w:val="21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Ocena formalna wniosków;</w:t>
            </w:r>
          </w:p>
          <w:p w:rsidR="00E83A8B" w:rsidRPr="00E83A8B" w:rsidRDefault="00E83A8B" w:rsidP="00E83A8B">
            <w:pPr>
              <w:numPr>
                <w:ilvl w:val="0"/>
                <w:numId w:val="21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Ocena merytoryczna wniosków i sporządzenie listy rankingowej; komisja oceny projektów będzie składać się z pracowników Biura i Oddziałów PFRON oraz z ekspertów zewnętrznych wszyscy eksperci zostaną przeszkoleni w zakresie oceny wniosków w ramach projektu;</w:t>
            </w:r>
          </w:p>
          <w:p w:rsidR="00E83A8B" w:rsidRPr="00E83A8B" w:rsidRDefault="00E83A8B" w:rsidP="00E83A8B">
            <w:pPr>
              <w:numPr>
                <w:ilvl w:val="0"/>
                <w:numId w:val="21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Podjęcie decyzji o powierzeniu grantów;</w:t>
            </w:r>
          </w:p>
          <w:p w:rsidR="00E83A8B" w:rsidRPr="00E83A8B" w:rsidRDefault="00E83A8B" w:rsidP="00E83A8B">
            <w:pPr>
              <w:numPr>
                <w:ilvl w:val="0"/>
                <w:numId w:val="21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Rozpatrzenie protestów i ponowna ocena wniosków w wyniku protestów;</w:t>
            </w:r>
          </w:p>
          <w:p w:rsidR="00E83A8B" w:rsidRPr="00E83A8B" w:rsidRDefault="00E83A8B" w:rsidP="00E83A8B">
            <w:pPr>
              <w:numPr>
                <w:ilvl w:val="0"/>
                <w:numId w:val="21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Podjęcie dodatkowej decyzji o powierzeniu grantów po zakończeniu procesu odwoławczego;</w:t>
            </w:r>
          </w:p>
          <w:p w:rsidR="00E83A8B" w:rsidRPr="00E83A8B" w:rsidRDefault="00E83A8B" w:rsidP="00E83A8B">
            <w:pPr>
              <w:numPr>
                <w:ilvl w:val="0"/>
                <w:numId w:val="21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Podpisanie umów o powierzenie grantu.</w:t>
            </w:r>
          </w:p>
          <w:p w:rsidR="00E83A8B" w:rsidRPr="00E83A8B" w:rsidRDefault="00E83A8B" w:rsidP="00E83A8B">
            <w:p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W przypadku wycofania się grantobiorców z realizacji projektu po podjęciu decyzji o powierzeniu grantów, możliwe będzie przyznanie grantu jst znajdującym się na kolejnych miejscach listy rankingowej, jeśli złożone przez nie projekty będą mogły zostać zrealizowane w ramach dostępnej kwoty przeznaczonej na granty oraz w czasie pozostającym do realizacji kamienia milowego III.</w:t>
            </w:r>
          </w:p>
          <w:p w:rsidR="00E83A8B" w:rsidRPr="00E83A8B" w:rsidRDefault="00E83A8B" w:rsidP="00E83A8B">
            <w:p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W ramach kamienia milowego III: Realizacja i rozliczenie projektów grantowych (przewidywany okres realizacji: 16 miesięcy):</w:t>
            </w:r>
          </w:p>
          <w:p w:rsidR="00E83A8B" w:rsidRPr="00E83A8B" w:rsidRDefault="00E83A8B" w:rsidP="00E83A8B">
            <w:pPr>
              <w:numPr>
                <w:ilvl w:val="0"/>
                <w:numId w:val="22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Przekazanie środków zaliczkowych;</w:t>
            </w:r>
          </w:p>
          <w:p w:rsidR="00E83A8B" w:rsidRPr="00E83A8B" w:rsidRDefault="00E83A8B" w:rsidP="00E83A8B">
            <w:pPr>
              <w:numPr>
                <w:ilvl w:val="0"/>
                <w:numId w:val="22"/>
              </w:numPr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Wsparcie grantobiorców w prawidłowej realizacji projektów;</w:t>
            </w:r>
          </w:p>
          <w:p w:rsidR="00E83A8B" w:rsidRPr="00E83A8B" w:rsidRDefault="00E83A8B" w:rsidP="00E83A8B">
            <w:pPr>
              <w:numPr>
                <w:ilvl w:val="0"/>
                <w:numId w:val="22"/>
              </w:numPr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Wizyty monitoringowe i kontrolne;</w:t>
            </w:r>
          </w:p>
          <w:p w:rsidR="00E83A8B" w:rsidRPr="00E83A8B" w:rsidRDefault="00E83A8B" w:rsidP="00E83A8B">
            <w:pPr>
              <w:numPr>
                <w:ilvl w:val="0"/>
                <w:numId w:val="22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lastRenderedPageBreak/>
              <w:t>Weryfikacja i akceptacja sprawozdań okresowych z realizacji projektów;</w:t>
            </w:r>
          </w:p>
          <w:p w:rsidR="00E83A8B" w:rsidRPr="00E83A8B" w:rsidRDefault="00E83A8B" w:rsidP="00E83A8B">
            <w:pPr>
              <w:numPr>
                <w:ilvl w:val="0"/>
                <w:numId w:val="22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Końcowe rozliczenie środków przekazanych grantobiorcom w oparciu o rzeczywiście poniesione wydatki;</w:t>
            </w:r>
          </w:p>
          <w:p w:rsidR="00E83A8B" w:rsidRPr="00E83A8B" w:rsidRDefault="00E83A8B" w:rsidP="00E83A8B">
            <w:pPr>
              <w:numPr>
                <w:ilvl w:val="0"/>
                <w:numId w:val="22"/>
              </w:numPr>
              <w:autoSpaceDE w:val="0"/>
              <w:autoSpaceDN w:val="0"/>
              <w:spacing w:before="240" w:after="240" w:line="36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Przygotowanie sprawozdania końcowego z realizacji projektu z wnioskami i rekomendacjami dot. przyszłych interwencji.</w:t>
            </w:r>
          </w:p>
        </w:tc>
      </w:tr>
      <w:bookmarkEnd w:id="1"/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Zasadnicze działania ukierunkowane na wsparcie podejmowanej interwencji publicznej, zrealizowane dotychczas przez wnioskodawcę lub inne instytucje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PFRON od 2016 r. realizuje trzecią edycję Programu wyrównywania różnic między regionami, w ramach którego (Obszar B programu) dofinansowywana jest likwidacja barier w urzędach, placówkach edukacyjnych i środowiskowych domach samopomocy w zakresie umożliwienia osobom niepełnosprawnym poruszania się i komunikowania. W roku 2019 w tym obszarze dofinansowano realizację 150 projektów na łączną kwotę 6.714.334,97 zł. Od tego roku rozszerzono zakres wsparcia o jednostki samorządu gminnego.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 xml:space="preserve">PFRON realizuje 6 projektów pozakonkursowych finansowanych z PO WER jako lider i uczestniczy w jednym projekcie jako partner, zaś w I połowie roku 2021 planowane jest rozpoczęcie realizacji kolejnych trzech projektów PO WER. Wśród tych projektów pięć obejmuje realizację konkursów grantowych, w tym konkurs dla jst „Usługi indywidualnego transportu </w:t>
            </w:r>
            <w:proofErr w:type="spellStart"/>
            <w:r w:rsidRPr="00E83A8B">
              <w:rPr>
                <w:rFonts w:ascii="Arial" w:hAnsi="Arial" w:cs="Arial"/>
                <w:iCs/>
                <w:sz w:val="24"/>
                <w:szCs w:val="24"/>
              </w:rPr>
              <w:t>door</w:t>
            </w:r>
            <w:proofErr w:type="spellEnd"/>
            <w:r w:rsidRPr="00E83A8B">
              <w:rPr>
                <w:rFonts w:ascii="Arial" w:hAnsi="Arial" w:cs="Arial"/>
                <w:iCs/>
                <w:sz w:val="24"/>
                <w:szCs w:val="24"/>
              </w:rPr>
              <w:t>-to-</w:t>
            </w:r>
            <w:proofErr w:type="spellStart"/>
            <w:r w:rsidRPr="00E83A8B">
              <w:rPr>
                <w:rFonts w:ascii="Arial" w:hAnsi="Arial" w:cs="Arial"/>
                <w:iCs/>
                <w:sz w:val="24"/>
                <w:szCs w:val="24"/>
              </w:rPr>
              <w:t>door</w:t>
            </w:r>
            <w:proofErr w:type="spellEnd"/>
            <w:r w:rsidRPr="00E83A8B">
              <w:rPr>
                <w:rFonts w:ascii="Arial" w:hAnsi="Arial" w:cs="Arial"/>
                <w:iCs/>
                <w:sz w:val="24"/>
                <w:szCs w:val="24"/>
              </w:rPr>
              <w:t xml:space="preserve"> oraz poprawa dostępności architektonicznej wielorodzinnych budynków mieszkalnych”, w ramach którego Zarząd PFRON przyznał dotychczas 77 grantów na łączną kwotę 40 240 648 zł. Trzy z już realizowanych projektów i dwa, które zostaną uruchomione w I połowie 2021 r. służą realizacji celów Programu Dostępność Plus.  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Jednostki samorządu terytorialnego lub ich jednostki stanowią jedną z kluczowych grup podmiotów, z którymi współpracuje PFRON w ramach swoich zadań ustawowych.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 xml:space="preserve">Uwarunkowania skutecznej realizacji założeń interwencji publicznej (interesariusze, stan prawny, itd.) 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3A8B" w:rsidRPr="00E83A8B" w:rsidRDefault="00E83A8B" w:rsidP="00E83A8B">
            <w:pPr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Podstawowymi aktami prawnymi definiującymi ramy realizacji Projektu jest ustawa z dnia 19 lipca 2019 r. o zapewnianiu dostępności osobom ze szczególnymi potrzebami oraz przywołane w ww. ustawie akty prawne definiujące minimalne wymagania w odniesieniu do poszczególnych zakresów dostępności. </w:t>
            </w:r>
          </w:p>
          <w:p w:rsidR="00E83A8B" w:rsidRPr="00E83A8B" w:rsidRDefault="00E83A8B" w:rsidP="00E83A8B">
            <w:pPr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Głównymi interesariuszami projektu są jednostki samorządu terytorialnego zobowiązane do zapewnienia dostępności i wymagające wsparcia finansowego w realizacji tego zadania.</w:t>
            </w:r>
          </w:p>
          <w:p w:rsidR="00E83A8B" w:rsidRPr="00E83A8B" w:rsidRDefault="00E83A8B" w:rsidP="00E83A8B">
            <w:pPr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Interesariuszami, zainteresowanymi rezultatami projektu są środowiska osób ze szczególnymi potrzebami, w tym w szczególności osób z niepełnosprawnościami.  </w:t>
            </w:r>
          </w:p>
          <w:p w:rsidR="00E83A8B" w:rsidRPr="00E83A8B" w:rsidRDefault="00E83A8B" w:rsidP="00E83A8B">
            <w:pPr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Kluczowe zagrożenia w skutecznej realizacji projektu wiążą się z bardzo ograniczonym czasem przeznaczonym na jego wdrożenie, co oznacza konieczność przygotowania wniosków przez jst w krótkim terminie, konieczność ich szybkiej oceny oraz krótki czas przeznaczony na realizację projektów.</w:t>
            </w:r>
          </w:p>
          <w:p w:rsidR="00E83A8B" w:rsidRPr="00E83A8B" w:rsidRDefault="00E83A8B" w:rsidP="00E83A8B">
            <w:pPr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Krótki czas na złożenie wniosków powoduje, że jst muszą wcześniej mieć zidentyfikowane swoje potrzeby w zakresie dostępności, dlatego granty będą mogły otrzymać wyłącznie jst, które przygotowały i opublikowały raport o stanie dostępności, a więc dokonały identyfikacji luk w tym zakresie, zaś premiowane będzie posiadanie planu działania na rzecz poprawy zapewnienia dostępności osobom ze szczególnymi potrzebami. </w:t>
            </w:r>
          </w:p>
          <w:p w:rsidR="00E83A8B" w:rsidRPr="00E83A8B" w:rsidRDefault="00E83A8B" w:rsidP="00E83A8B">
            <w:pPr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Wniosek o przyznanie grantu będzie maksymalnie uproszczony, tak aby ułatwić jego wypełnianie. Wnioski będą składane przy pomocy platformy internetowej, położony zostanie nacisk na zastosowanie w niej rozwiązań przyjaznych dla użytkowników. </w:t>
            </w:r>
          </w:p>
          <w:p w:rsidR="00E83A8B" w:rsidRPr="00E83A8B" w:rsidRDefault="00E83A8B" w:rsidP="00E83A8B">
            <w:pPr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celu zapewnienia możliwie szybkiego procesu oceny, biorąc jednocześnie pod uwagę ograniczoną kwotę grantu i krótki czas przewidziany na realizację projektów grantowych, ustalony został zamknięty katalog kosztów, jakie będą mogły zostać pokryte w ramach grantu. Przewiduje się również ograniczenie liczby kryteriów </w:t>
            </w: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podlegających ocenie oraz rezygnację z kryteriów wymagających złożonej oceny eksperckiej. Do procesu oceny zostanie zaangażowana duża liczba pracowników PFRON oraz ekspertów zewnętrznych, dysponujących odpowiednim doświadczeniem. </w:t>
            </w:r>
          </w:p>
          <w:p w:rsidR="00E83A8B" w:rsidRPr="00E83A8B" w:rsidRDefault="00E83A8B" w:rsidP="00E83A8B">
            <w:pPr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83A8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względu na krótki okres realizacji i rozliczenia projektów, maksymalna kwota grantu jest ograniczona; w dokumentacji konkursowej zostaną określone wymogi dotyczące gotowości dokumentacji niezbędnej do realizacji projektu grantowego, w szczególności w odniesieniu do robót budowlanych.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Dalsze etapy planowane do wdrożenia poza projektem, o ile zostaną spełnione warunki umożliwiające ich skuteczne wykonanie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3A8B">
              <w:rPr>
                <w:rFonts w:ascii="Arial" w:hAnsi="Arial" w:cs="Arial"/>
                <w:iCs/>
                <w:sz w:val="24"/>
                <w:szCs w:val="24"/>
              </w:rPr>
              <w:t>Po zakończeniu projektu, na podstawie analizy sprawozdań końcowych grantobiorców oraz badania ankietowego grantobiorców beneficjent (PFRON) przygotuje i przedstawi Instytucji Pośredniczącej (MSWiA) oraz Instytucji Zarządzającej (</w:t>
            </w:r>
            <w:proofErr w:type="spellStart"/>
            <w:r w:rsidRPr="00E83A8B">
              <w:rPr>
                <w:rFonts w:ascii="Arial" w:hAnsi="Arial" w:cs="Arial"/>
                <w:iCs/>
                <w:sz w:val="24"/>
                <w:szCs w:val="24"/>
              </w:rPr>
              <w:t>MFiPR</w:t>
            </w:r>
            <w:proofErr w:type="spellEnd"/>
            <w:r w:rsidRPr="00E83A8B">
              <w:rPr>
                <w:rFonts w:ascii="Arial" w:hAnsi="Arial" w:cs="Arial"/>
                <w:iCs/>
                <w:sz w:val="24"/>
                <w:szCs w:val="24"/>
              </w:rPr>
              <w:t>) raport końcowy podsumowujący osiągnięte rezultaty oraz wnioski i rekomendacje dotyczące dalszych działań wspierających jst w zapewnianiu dostępności ich usług dla osób ze szczególnymi potrzebami.</w:t>
            </w:r>
          </w:p>
        </w:tc>
      </w:tr>
      <w:tr w:rsidR="00E83A8B" w:rsidRPr="00E83A8B" w:rsidTr="00056B2B">
        <w:trPr>
          <w:trHeight w:val="396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ZAKŁADANE EFEKTY PROJEKTU WYRAŻONE WSKAŹNIKAMI (W PODZIALE NA PŁEĆ I OGÓŁEM)</w:t>
            </w:r>
          </w:p>
        </w:tc>
      </w:tr>
      <w:tr w:rsidR="00E83A8B" w:rsidRPr="00E83A8B" w:rsidTr="00056B2B">
        <w:trPr>
          <w:trHeight w:val="455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WSKAŹNIKI REZULTATU</w:t>
            </w:r>
          </w:p>
        </w:tc>
      </w:tr>
      <w:tr w:rsidR="00E83A8B" w:rsidRPr="00E83A8B" w:rsidTr="00056B2B">
        <w:trPr>
          <w:trHeight w:val="567"/>
        </w:trPr>
        <w:tc>
          <w:tcPr>
            <w:tcW w:w="4249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5107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Wartość docelowa</w:t>
            </w:r>
          </w:p>
        </w:tc>
      </w:tr>
      <w:tr w:rsidR="00E83A8B" w:rsidRPr="00E83A8B" w:rsidTr="00056B2B">
        <w:trPr>
          <w:trHeight w:val="567"/>
        </w:trPr>
        <w:tc>
          <w:tcPr>
            <w:tcW w:w="4249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 podziale na:</w:t>
            </w:r>
            <w:r w:rsidRPr="00E83A8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8"/>
            </w:r>
          </w:p>
        </w:tc>
        <w:tc>
          <w:tcPr>
            <w:tcW w:w="19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C0D9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Ogółem w projekcie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3A8B" w:rsidRPr="00E83A8B" w:rsidTr="00056B2B">
        <w:trPr>
          <w:trHeight w:val="567"/>
        </w:trPr>
        <w:tc>
          <w:tcPr>
            <w:tcW w:w="4249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Kobiety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Mężczyzn</w:t>
            </w:r>
          </w:p>
        </w:tc>
        <w:tc>
          <w:tcPr>
            <w:tcW w:w="198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3A8B" w:rsidRPr="00E83A8B" w:rsidTr="00056B2B">
        <w:trPr>
          <w:trHeight w:val="433"/>
        </w:trPr>
        <w:tc>
          <w:tcPr>
            <w:tcW w:w="424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lastRenderedPageBreak/>
              <w:t>Liczba jst, które poprawiły  dostępność swoich usług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WSKAŹNIKI PRODUKTU</w:t>
            </w:r>
          </w:p>
        </w:tc>
      </w:tr>
      <w:tr w:rsidR="00E83A8B" w:rsidRPr="00E83A8B" w:rsidTr="00056B2B">
        <w:trPr>
          <w:trHeight w:val="567"/>
        </w:trPr>
        <w:tc>
          <w:tcPr>
            <w:tcW w:w="4249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5107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Wartość docelowa</w:t>
            </w:r>
          </w:p>
        </w:tc>
      </w:tr>
      <w:tr w:rsidR="00E83A8B" w:rsidRPr="00E83A8B" w:rsidTr="00056B2B">
        <w:trPr>
          <w:trHeight w:val="567"/>
        </w:trPr>
        <w:tc>
          <w:tcPr>
            <w:tcW w:w="4249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W podziale na:</w:t>
            </w:r>
            <w:r w:rsidRPr="00E83A8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</w:p>
        </w:tc>
        <w:tc>
          <w:tcPr>
            <w:tcW w:w="19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C0D9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Ogółem w projekcie</w:t>
            </w:r>
          </w:p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3A8B" w:rsidRPr="00E83A8B" w:rsidTr="00056B2B">
        <w:trPr>
          <w:trHeight w:val="567"/>
        </w:trPr>
        <w:tc>
          <w:tcPr>
            <w:tcW w:w="4249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Kobiety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Mężczyzn</w:t>
            </w:r>
          </w:p>
        </w:tc>
        <w:tc>
          <w:tcPr>
            <w:tcW w:w="198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3A8B" w:rsidRPr="00E83A8B" w:rsidTr="00056B2B">
        <w:trPr>
          <w:trHeight w:val="495"/>
        </w:trPr>
        <w:tc>
          <w:tcPr>
            <w:tcW w:w="4249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tabs>
                <w:tab w:val="left" w:pos="0"/>
                <w:tab w:val="left" w:pos="34"/>
              </w:tabs>
              <w:spacing w:before="240" w:after="240" w:line="360" w:lineRule="auto"/>
              <w:ind w:right="28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Liczba jst objętych wsparciem z zakresu poprawy dostępności świadczonych usług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E83A8B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SZCZEGÓŁOWE KRYTERIA WYBORU PROJEKTU</w:t>
            </w:r>
          </w:p>
        </w:tc>
      </w:tr>
      <w:tr w:rsidR="00E83A8B" w:rsidRPr="00E83A8B" w:rsidTr="00056B2B">
        <w:trPr>
          <w:trHeight w:val="567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0D9"/>
            <w:vAlign w:val="center"/>
            <w:hideMark/>
          </w:tcPr>
          <w:p w:rsidR="00E83A8B" w:rsidRPr="00E83A8B" w:rsidRDefault="00E83A8B" w:rsidP="00E83A8B">
            <w:pPr>
              <w:spacing w:before="240" w:after="240" w:line="360" w:lineRule="auto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 w:rsidRPr="00E83A8B">
              <w:rPr>
                <w:rFonts w:ascii="Arial" w:hAnsi="Arial" w:cs="Arial"/>
                <w:b/>
                <w:sz w:val="24"/>
                <w:szCs w:val="24"/>
              </w:rPr>
              <w:t>KRYTERIA DOSTĘPU</w:t>
            </w:r>
          </w:p>
        </w:tc>
      </w:tr>
      <w:tr w:rsidR="00E83A8B" w:rsidRPr="00E83A8B" w:rsidTr="00056B2B">
        <w:trPr>
          <w:trHeight w:val="20"/>
        </w:trPr>
        <w:tc>
          <w:tcPr>
            <w:tcW w:w="9356" w:type="dxa"/>
            <w:gridSpan w:val="1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3A8B" w:rsidRPr="00E83A8B" w:rsidTr="00056B2B">
        <w:trPr>
          <w:trHeight w:val="567"/>
        </w:trPr>
        <w:tc>
          <w:tcPr>
            <w:tcW w:w="169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0D9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57" w:type="dxa"/>
            <w:gridSpan w:val="15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83A8B" w:rsidRPr="00E83A8B" w:rsidRDefault="00E83A8B" w:rsidP="00E83A8B">
            <w:pPr>
              <w:spacing w:before="240" w:after="240" w:line="360" w:lineRule="auto"/>
              <w:ind w:left="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E83A8B" w:rsidRPr="00E83A8B" w:rsidRDefault="00E83A8B" w:rsidP="00E83A8B">
      <w:pPr>
        <w:spacing w:after="160" w:line="259" w:lineRule="auto"/>
        <w:rPr>
          <w:rFonts w:ascii="Arial" w:hAnsi="Arial" w:cs="Arial"/>
          <w:sz w:val="24"/>
          <w:szCs w:val="24"/>
        </w:rPr>
      </w:pPr>
    </w:p>
    <w:tbl>
      <w:tblPr>
        <w:tblW w:w="937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62"/>
        <w:gridCol w:w="1979"/>
        <w:gridCol w:w="1407"/>
        <w:gridCol w:w="3827"/>
      </w:tblGrid>
      <w:tr w:rsidR="00E83A8B" w:rsidRPr="00E83A8B" w:rsidTr="00056B2B">
        <w:trPr>
          <w:trHeight w:val="362"/>
        </w:trPr>
        <w:tc>
          <w:tcPr>
            <w:tcW w:w="9375" w:type="dxa"/>
            <w:gridSpan w:val="4"/>
            <w:shd w:val="clear" w:color="auto" w:fill="D9D9D9"/>
            <w:vAlign w:val="center"/>
          </w:tcPr>
          <w:p w:rsidR="00E83A8B" w:rsidRPr="00E83A8B" w:rsidRDefault="00E83A8B" w:rsidP="00E83A8B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E83A8B">
              <w:rPr>
                <w:rFonts w:ascii="Arial" w:hAnsi="Arial" w:cs="Arial"/>
                <w:b/>
                <w:sz w:val="18"/>
                <w:szCs w:val="18"/>
              </w:rPr>
              <w:t>PODPIS OSOBY UPOWAŻNIONEJ DO PODEJMOWANIA DECYZJI W ZAKRESIE PLANU DZIAŁANIA</w:t>
            </w:r>
          </w:p>
        </w:tc>
      </w:tr>
      <w:tr w:rsidR="00E83A8B" w:rsidRPr="00E83A8B" w:rsidTr="00056B2B">
        <w:trPr>
          <w:trHeight w:val="1116"/>
        </w:trPr>
        <w:tc>
          <w:tcPr>
            <w:tcW w:w="2162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E83A8B" w:rsidRPr="00E83A8B" w:rsidRDefault="00E83A8B" w:rsidP="00E83A8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E83A8B">
              <w:rPr>
                <w:rFonts w:ascii="Arial" w:hAnsi="Arial" w:cs="Arial"/>
                <w:sz w:val="18"/>
                <w:szCs w:val="18"/>
              </w:rPr>
              <w:t>Miejscowość, data</w:t>
            </w:r>
          </w:p>
        </w:tc>
        <w:tc>
          <w:tcPr>
            <w:tcW w:w="1979" w:type="dxa"/>
            <w:tcBorders>
              <w:bottom w:val="single" w:sz="12" w:space="0" w:color="auto"/>
            </w:tcBorders>
            <w:vAlign w:val="center"/>
          </w:tcPr>
          <w:p w:rsidR="00E83A8B" w:rsidRPr="00E83A8B" w:rsidRDefault="003432FE" w:rsidP="00E83A8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Warszawa, </w:t>
            </w:r>
            <w:r w:rsidR="00222207">
              <w:rPr>
                <w:rFonts w:ascii="Arial" w:hAnsi="Arial" w:cs="Arial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.03.2021 r.</w:t>
            </w:r>
          </w:p>
        </w:tc>
        <w:tc>
          <w:tcPr>
            <w:tcW w:w="140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E83A8B" w:rsidRPr="00E83A8B" w:rsidRDefault="00E83A8B" w:rsidP="00E83A8B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E83A8B">
              <w:rPr>
                <w:rFonts w:ascii="Arial" w:hAnsi="Arial" w:cs="Arial"/>
                <w:sz w:val="18"/>
                <w:szCs w:val="18"/>
              </w:rPr>
              <w:t>Pieczęć i podpis osoby upoważnionej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vAlign w:val="center"/>
          </w:tcPr>
          <w:p w:rsidR="00BB52EB" w:rsidRDefault="00BB52EB" w:rsidP="00BB52EB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Minister</w:t>
            </w:r>
          </w:p>
          <w:p w:rsidR="003432FE" w:rsidRDefault="00BB52EB" w:rsidP="00BB52EB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Spraw Wewnętrznych i Administracji</w:t>
            </w:r>
          </w:p>
          <w:p w:rsidR="003432FE" w:rsidRDefault="003432FE" w:rsidP="00BB52EB">
            <w:pPr>
              <w:pStyle w:val="Bezodstpw"/>
              <w:jc w:val="center"/>
              <w:rPr>
                <w:b/>
              </w:rPr>
            </w:pPr>
          </w:p>
          <w:p w:rsidR="003432FE" w:rsidRDefault="00BB52EB" w:rsidP="00BB52EB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 xml:space="preserve">z up. </w:t>
            </w:r>
            <w:r w:rsidR="003432FE">
              <w:rPr>
                <w:b/>
              </w:rPr>
              <w:t>Andrzej Trzęsiara</w:t>
            </w:r>
          </w:p>
          <w:p w:rsidR="00E83A8B" w:rsidRPr="00E83A8B" w:rsidRDefault="003432FE" w:rsidP="00BB52EB">
            <w:pPr>
              <w:spacing w:after="0" w:line="240" w:lineRule="auto"/>
              <w:jc w:val="center"/>
            </w:pPr>
            <w:r>
              <w:rPr>
                <w:b/>
              </w:rPr>
              <w:t>zastępca dyrektora D</w:t>
            </w:r>
            <w:r w:rsidR="00BB52EB">
              <w:rPr>
                <w:b/>
              </w:rPr>
              <w:t xml:space="preserve">epartamentu </w:t>
            </w:r>
            <w:r>
              <w:rPr>
                <w:b/>
              </w:rPr>
              <w:t>F</w:t>
            </w:r>
            <w:r w:rsidR="00BB52EB">
              <w:rPr>
                <w:b/>
              </w:rPr>
              <w:t xml:space="preserve">unduszy </w:t>
            </w:r>
            <w:r>
              <w:rPr>
                <w:b/>
              </w:rPr>
              <w:t>E</w:t>
            </w:r>
            <w:r w:rsidR="00BB52EB">
              <w:rPr>
                <w:b/>
              </w:rPr>
              <w:t>uropejskich</w:t>
            </w:r>
            <w:r>
              <w:rPr>
                <w:b/>
              </w:rPr>
              <w:t xml:space="preserve"> MSWiA</w:t>
            </w:r>
            <w:r>
              <w:t xml:space="preserve"> </w:t>
            </w:r>
            <w:r>
              <w:rPr>
                <w:color w:val="FF0000"/>
              </w:rPr>
              <w:lastRenderedPageBreak/>
              <w:t>[podpisano certyfikatem kwalifikowanym]</w:t>
            </w:r>
          </w:p>
        </w:tc>
      </w:tr>
      <w:tr w:rsidR="00E83A8B" w:rsidRPr="00E83A8B" w:rsidTr="00056B2B">
        <w:trPr>
          <w:trHeight w:val="362"/>
        </w:trPr>
        <w:tc>
          <w:tcPr>
            <w:tcW w:w="9375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83A8B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DATA ZATWIERDZENIA PLANU DZIAŁANIA I IDENTYFIKACJI PROJEKTÓW POZAKONKURSOWYCH, KTÓRYCH FISZKI PO RAZ PIERWSZY ZAWARTO W PLANIE DZIAŁANIA, W ROZUMIENIU ART. 48 UST. 3 USTAWY Z DNIA 11 LIPCA 2014 R. </w:t>
            </w:r>
            <w:r w:rsidRPr="00E83A8B">
              <w:rPr>
                <w:rFonts w:ascii="Arial" w:hAnsi="Arial" w:cs="Arial"/>
                <w:b/>
                <w:i/>
                <w:sz w:val="18"/>
                <w:szCs w:val="18"/>
              </w:rPr>
              <w:t>O ZASADACH REALIZACJI PROGRAMÓW W ZAKRESIE POLITYKI SPÓJNOŚCI W PERSPEKTYWIE FINANSOWEJ 2014-2020</w:t>
            </w:r>
            <w:r w:rsidRPr="00E83A8B">
              <w:rPr>
                <w:rFonts w:ascii="Arial" w:hAnsi="Arial" w:cs="Arial"/>
                <w:b/>
                <w:sz w:val="18"/>
                <w:szCs w:val="18"/>
              </w:rPr>
              <w:t xml:space="preserve"> (DZ.U. Z 2018 R. POZ. 1431, z </w:t>
            </w:r>
            <w:proofErr w:type="spellStart"/>
            <w:r w:rsidRPr="00E83A8B">
              <w:rPr>
                <w:rFonts w:ascii="Arial" w:hAnsi="Arial" w:cs="Arial"/>
                <w:b/>
                <w:sz w:val="18"/>
                <w:szCs w:val="18"/>
              </w:rPr>
              <w:t>późn</w:t>
            </w:r>
            <w:proofErr w:type="spellEnd"/>
            <w:r w:rsidRPr="00E83A8B">
              <w:rPr>
                <w:rFonts w:ascii="Arial" w:hAnsi="Arial" w:cs="Arial"/>
                <w:b/>
                <w:sz w:val="18"/>
                <w:szCs w:val="18"/>
              </w:rPr>
              <w:t>. zm.)</w:t>
            </w:r>
            <w:r w:rsidRPr="00E83A8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83A8B" w:rsidRPr="00E83A8B" w:rsidRDefault="00E83A8B" w:rsidP="00E83A8B">
            <w:pPr>
              <w:spacing w:before="60" w:after="60"/>
              <w:rPr>
                <w:rFonts w:ascii="Arial" w:hAnsi="Arial" w:cs="Arial"/>
                <w:i/>
                <w:sz w:val="13"/>
                <w:szCs w:val="13"/>
              </w:rPr>
            </w:pPr>
            <w:r w:rsidRPr="00E83A8B">
              <w:rPr>
                <w:rFonts w:ascii="Arial" w:hAnsi="Arial" w:cs="Arial"/>
                <w:i/>
                <w:sz w:val="13"/>
                <w:szCs w:val="13"/>
              </w:rPr>
              <w:t xml:space="preserve">(wypełnia Instytucja Zarządzająca POWER, wprowadzając Roczny Plan Działania jako załącznik do Szczegółowego Opisu Osi Priorytetowych POWER) </w:t>
            </w:r>
          </w:p>
        </w:tc>
      </w:tr>
      <w:tr w:rsidR="00E83A8B" w:rsidRPr="00E83A8B" w:rsidTr="00056B2B">
        <w:trPr>
          <w:trHeight w:val="1116"/>
        </w:trPr>
        <w:tc>
          <w:tcPr>
            <w:tcW w:w="9375" w:type="dxa"/>
            <w:gridSpan w:val="4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E83A8B" w:rsidRPr="00E83A8B" w:rsidRDefault="0068092C" w:rsidP="00E83A8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22.03.2021</w:t>
            </w:r>
            <w:bookmarkStart w:id="2" w:name="_GoBack"/>
            <w:bookmarkEnd w:id="2"/>
          </w:p>
        </w:tc>
      </w:tr>
    </w:tbl>
    <w:p w:rsidR="00E83A8B" w:rsidRPr="00E83A8B" w:rsidRDefault="00E83A8B" w:rsidP="00E83A8B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0E189A" w:rsidRPr="00F75263" w:rsidRDefault="000E189A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0E189A" w:rsidRPr="00F75263" w:rsidRDefault="000E189A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  <w:bookmarkStart w:id="3" w:name="ezdPracownikAtrybut1"/>
      <w:bookmarkEnd w:id="3"/>
      <w:r w:rsidRPr="00F75263">
        <w:rPr>
          <w:rFonts w:ascii="Arial" w:hAnsi="Arial" w:cs="Arial"/>
          <w:sz w:val="24"/>
          <w:szCs w:val="24"/>
        </w:rPr>
        <w:t xml:space="preserve"> </w:t>
      </w:r>
      <w:bookmarkStart w:id="4" w:name="ezdPracownikNazwa"/>
      <w:bookmarkEnd w:id="4"/>
    </w:p>
    <w:p w:rsidR="000E189A" w:rsidRPr="00F75263" w:rsidRDefault="000E189A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  <w:bookmarkStart w:id="5" w:name="ezdPracownikAtrybut2"/>
      <w:bookmarkEnd w:id="5"/>
      <w:r w:rsidRPr="00F75263">
        <w:rPr>
          <w:rFonts w:ascii="Arial" w:hAnsi="Arial" w:cs="Arial"/>
          <w:sz w:val="24"/>
          <w:szCs w:val="24"/>
        </w:rPr>
        <w:t xml:space="preserve"> </w:t>
      </w:r>
      <w:bookmarkStart w:id="6" w:name="ezdDataPodpisu_2"/>
      <w:bookmarkEnd w:id="6"/>
    </w:p>
    <w:sectPr w:rsidR="000E189A" w:rsidRPr="00F75263" w:rsidSect="00FF48D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8E9" w:rsidRDefault="007F68E9" w:rsidP="003D5936">
      <w:pPr>
        <w:spacing w:after="0" w:line="240" w:lineRule="auto"/>
      </w:pPr>
      <w:r>
        <w:separator/>
      </w:r>
    </w:p>
  </w:endnote>
  <w:endnote w:type="continuationSeparator" w:id="0">
    <w:p w:rsidR="007F68E9" w:rsidRDefault="007F68E9" w:rsidP="003D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2CE" w:rsidRPr="0058301A" w:rsidRDefault="0058301A" w:rsidP="0058301A">
    <w:pPr>
      <w:pStyle w:val="Stopka"/>
      <w:spacing w:before="120" w:after="120" w:line="240" w:lineRule="atLeast"/>
      <w:jc w:val="right"/>
      <w:rPr>
        <w:rFonts w:ascii="Arial" w:hAnsi="Arial" w:cs="Arial"/>
      </w:rPr>
    </w:pPr>
    <w:r w:rsidRPr="00D67239">
      <w:rPr>
        <w:rFonts w:ascii="Arial" w:hAnsi="Arial" w:cs="Arial"/>
      </w:rPr>
      <w:t xml:space="preserve">Strona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PAGE</w:instrText>
    </w:r>
    <w:r w:rsidRPr="00D67239">
      <w:rPr>
        <w:rFonts w:ascii="Arial" w:hAnsi="Arial" w:cs="Arial"/>
        <w:b/>
        <w:bCs/>
      </w:rPr>
      <w:fldChar w:fldCharType="separate"/>
    </w:r>
    <w:r w:rsidR="0068092C">
      <w:rPr>
        <w:rFonts w:ascii="Arial" w:hAnsi="Arial" w:cs="Arial"/>
        <w:b/>
        <w:bCs/>
        <w:noProof/>
      </w:rPr>
      <w:t>17</w:t>
    </w:r>
    <w:r w:rsidRPr="00D67239">
      <w:rPr>
        <w:rFonts w:ascii="Arial" w:hAnsi="Arial" w:cs="Arial"/>
        <w:b/>
        <w:bCs/>
      </w:rPr>
      <w:fldChar w:fldCharType="end"/>
    </w:r>
    <w:r w:rsidRPr="00D67239">
      <w:rPr>
        <w:rFonts w:ascii="Arial" w:hAnsi="Arial" w:cs="Arial"/>
      </w:rPr>
      <w:t xml:space="preserve"> z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NUMPAGES</w:instrText>
    </w:r>
    <w:r w:rsidRPr="00D67239">
      <w:rPr>
        <w:rFonts w:ascii="Arial" w:hAnsi="Arial" w:cs="Arial"/>
        <w:b/>
        <w:bCs/>
      </w:rPr>
      <w:fldChar w:fldCharType="separate"/>
    </w:r>
    <w:r w:rsidR="0068092C">
      <w:rPr>
        <w:rFonts w:ascii="Arial" w:hAnsi="Arial" w:cs="Arial"/>
        <w:b/>
        <w:bCs/>
        <w:noProof/>
      </w:rPr>
      <w:t>17</w:t>
    </w:r>
    <w:r w:rsidRPr="00D67239">
      <w:rPr>
        <w:rFonts w:ascii="Arial" w:hAnsi="Arial" w:cs="Arial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888" w:rsidRPr="00D67239" w:rsidRDefault="00257888" w:rsidP="00D67239">
    <w:pPr>
      <w:pStyle w:val="Stopka"/>
      <w:spacing w:before="120" w:after="120" w:line="240" w:lineRule="atLeast"/>
      <w:jc w:val="right"/>
      <w:rPr>
        <w:rFonts w:ascii="Arial" w:hAnsi="Arial" w:cs="Arial"/>
      </w:rPr>
    </w:pPr>
    <w:r w:rsidRPr="00D67239">
      <w:rPr>
        <w:rFonts w:ascii="Arial" w:hAnsi="Arial" w:cs="Arial"/>
      </w:rPr>
      <w:t xml:space="preserve">Strona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PAGE</w:instrText>
    </w:r>
    <w:r w:rsidRPr="00D67239">
      <w:rPr>
        <w:rFonts w:ascii="Arial" w:hAnsi="Arial" w:cs="Arial"/>
        <w:b/>
        <w:bCs/>
      </w:rPr>
      <w:fldChar w:fldCharType="separate"/>
    </w:r>
    <w:r w:rsidR="0068092C">
      <w:rPr>
        <w:rFonts w:ascii="Arial" w:hAnsi="Arial" w:cs="Arial"/>
        <w:b/>
        <w:bCs/>
        <w:noProof/>
      </w:rPr>
      <w:t>1</w:t>
    </w:r>
    <w:r w:rsidRPr="00D67239">
      <w:rPr>
        <w:rFonts w:ascii="Arial" w:hAnsi="Arial" w:cs="Arial"/>
        <w:b/>
        <w:bCs/>
      </w:rPr>
      <w:fldChar w:fldCharType="end"/>
    </w:r>
    <w:r w:rsidRPr="00D67239">
      <w:rPr>
        <w:rFonts w:ascii="Arial" w:hAnsi="Arial" w:cs="Arial"/>
      </w:rPr>
      <w:t xml:space="preserve"> z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NUMPAGES</w:instrText>
    </w:r>
    <w:r w:rsidRPr="00D67239">
      <w:rPr>
        <w:rFonts w:ascii="Arial" w:hAnsi="Arial" w:cs="Arial"/>
        <w:b/>
        <w:bCs/>
      </w:rPr>
      <w:fldChar w:fldCharType="separate"/>
    </w:r>
    <w:r w:rsidR="0068092C">
      <w:rPr>
        <w:rFonts w:ascii="Arial" w:hAnsi="Arial" w:cs="Arial"/>
        <w:b/>
        <w:bCs/>
        <w:noProof/>
      </w:rPr>
      <w:t>17</w:t>
    </w:r>
    <w:r w:rsidRPr="00D67239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8E9" w:rsidRDefault="007F68E9" w:rsidP="003D5936">
      <w:pPr>
        <w:spacing w:after="0" w:line="240" w:lineRule="auto"/>
      </w:pPr>
      <w:r>
        <w:separator/>
      </w:r>
    </w:p>
  </w:footnote>
  <w:footnote w:type="continuationSeparator" w:id="0">
    <w:p w:rsidR="007F68E9" w:rsidRDefault="007F68E9" w:rsidP="003D5936">
      <w:pPr>
        <w:spacing w:after="0" w:line="240" w:lineRule="auto"/>
      </w:pPr>
      <w:r>
        <w:continuationSeparator/>
      </w:r>
    </w:p>
  </w:footnote>
  <w:footnote w:id="1">
    <w:p w:rsidR="00E83A8B" w:rsidRDefault="00E83A8B" w:rsidP="00E83A8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970C2">
        <w:rPr>
          <w:rFonts w:ascii="Arial" w:hAnsi="Arial" w:cs="Arial"/>
          <w:sz w:val="16"/>
          <w:szCs w:val="16"/>
        </w:rPr>
        <w:t xml:space="preserve">Należy wpisać odpowiedni nr wersji Planu Działania w </w:t>
      </w:r>
      <w:r>
        <w:rPr>
          <w:rFonts w:ascii="Arial" w:hAnsi="Arial" w:cs="Arial"/>
          <w:sz w:val="16"/>
          <w:szCs w:val="16"/>
        </w:rPr>
        <w:t>następującym formacie: „2020/1”, „2020</w:t>
      </w:r>
      <w:r w:rsidRPr="001970C2">
        <w:rPr>
          <w:rFonts w:ascii="Arial" w:hAnsi="Arial" w:cs="Arial"/>
          <w:sz w:val="16"/>
          <w:szCs w:val="16"/>
        </w:rPr>
        <w:t>/2”</w:t>
      </w:r>
      <w:r>
        <w:rPr>
          <w:rFonts w:ascii="Arial" w:hAnsi="Arial" w:cs="Arial"/>
          <w:sz w:val="16"/>
          <w:szCs w:val="16"/>
        </w:rPr>
        <w:t>, „2020</w:t>
      </w:r>
      <w:r w:rsidRPr="001970C2">
        <w:rPr>
          <w:rFonts w:ascii="Arial" w:hAnsi="Arial" w:cs="Arial"/>
          <w:sz w:val="16"/>
          <w:szCs w:val="16"/>
        </w:rPr>
        <w:t>/…”.</w:t>
      </w:r>
      <w:r>
        <w:t xml:space="preserve">   </w:t>
      </w:r>
    </w:p>
  </w:footnote>
  <w:footnote w:id="2">
    <w:p w:rsidR="00E83A8B" w:rsidRDefault="00E83A8B" w:rsidP="00E83A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Należy wskazać roboczą nazwę projektu albo skrótowo opisać istotę, zakres przedmiotowy projektu.</w:t>
      </w:r>
    </w:p>
  </w:footnote>
  <w:footnote w:id="3">
    <w:p w:rsidR="00E83A8B" w:rsidRDefault="00E83A8B" w:rsidP="00E83A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podrozdziałem 5.2.1 </w:t>
      </w:r>
      <w:r>
        <w:rPr>
          <w:rFonts w:ascii="Arial" w:hAnsi="Arial" w:cs="Arial"/>
          <w:i/>
          <w:sz w:val="16"/>
          <w:szCs w:val="16"/>
        </w:rPr>
        <w:t>Polityka spójności</w:t>
      </w:r>
      <w:r>
        <w:rPr>
          <w:rFonts w:ascii="Arial" w:hAnsi="Arial" w:cs="Arial"/>
          <w:sz w:val="16"/>
          <w:szCs w:val="16"/>
        </w:rPr>
        <w:t xml:space="preserve"> rozdziału 5.2 </w:t>
      </w:r>
      <w:r>
        <w:rPr>
          <w:rFonts w:ascii="Arial" w:hAnsi="Arial" w:cs="Arial"/>
          <w:i/>
          <w:sz w:val="16"/>
          <w:szCs w:val="16"/>
        </w:rPr>
        <w:t>Zasady wyboru projektów</w:t>
      </w:r>
      <w:r>
        <w:rPr>
          <w:rFonts w:ascii="Arial" w:hAnsi="Arial" w:cs="Arial"/>
          <w:sz w:val="16"/>
          <w:szCs w:val="16"/>
        </w:rPr>
        <w:t xml:space="preserve"> Umowy Partnerstwa z dnia 21 maja 2014 r. przedsięwzięcia o długim horyzoncie czasowym realizacji muszą być dzielone na krótkie etapy, których realizacja będzie uzależniona od osiągnięcia rezultatów założonych na wcześniejszym etapie (kamieni milowych).</w:t>
      </w:r>
    </w:p>
  </w:footnote>
  <w:footnote w:id="4">
    <w:p w:rsidR="00E83A8B" w:rsidRDefault="00E83A8B" w:rsidP="00E83A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przypadku opracowywania Rocznego Planu Działania przez IP, podmiotem zgłaszającym projekt jest IP. W przypadku opracowywania Rocznego Planu Działania przez IZ należy wpisać nazwę podmiotu, który zgłosił projekt do IZ. </w:t>
      </w:r>
    </w:p>
  </w:footnote>
  <w:footnote w:id="5">
    <w:p w:rsidR="00E83A8B" w:rsidRDefault="00E83A8B" w:rsidP="00E83A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szczególności w świetle art. 38 ust. 2 i 3 ustawy z dnia 11 lipca 2014 r. </w:t>
      </w:r>
      <w:r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(Dz.U. z 2016 r. poz. 217, z </w:t>
      </w:r>
      <w:proofErr w:type="spellStart"/>
      <w:r>
        <w:rPr>
          <w:rFonts w:ascii="Arial" w:hAnsi="Arial" w:cs="Arial"/>
          <w:sz w:val="16"/>
          <w:szCs w:val="16"/>
        </w:rPr>
        <w:t>późn</w:t>
      </w:r>
      <w:proofErr w:type="spellEnd"/>
      <w:r>
        <w:rPr>
          <w:rFonts w:ascii="Arial" w:hAnsi="Arial" w:cs="Arial"/>
          <w:sz w:val="16"/>
          <w:szCs w:val="16"/>
        </w:rPr>
        <w:t xml:space="preserve">. zm.) oraz podrozdziału 5.2.1 </w:t>
      </w:r>
      <w:r>
        <w:rPr>
          <w:rFonts w:ascii="Arial" w:hAnsi="Arial" w:cs="Arial"/>
          <w:i/>
          <w:sz w:val="16"/>
          <w:szCs w:val="16"/>
        </w:rPr>
        <w:t>Polityka spójności</w:t>
      </w:r>
      <w:r>
        <w:rPr>
          <w:rFonts w:ascii="Arial" w:hAnsi="Arial" w:cs="Arial"/>
          <w:sz w:val="16"/>
          <w:szCs w:val="16"/>
        </w:rPr>
        <w:t xml:space="preserve">, rozdziału 5.2 </w:t>
      </w:r>
      <w:r>
        <w:rPr>
          <w:rFonts w:ascii="Arial" w:hAnsi="Arial" w:cs="Arial"/>
          <w:i/>
          <w:sz w:val="16"/>
          <w:szCs w:val="16"/>
        </w:rPr>
        <w:t>Zasady wyboru projektów</w:t>
      </w:r>
      <w:r>
        <w:rPr>
          <w:rFonts w:ascii="Arial" w:hAnsi="Arial" w:cs="Arial"/>
          <w:sz w:val="16"/>
          <w:szCs w:val="16"/>
        </w:rPr>
        <w:t xml:space="preserve"> Umowy Partnerstwa z dnia 21 maja 2014 r.</w:t>
      </w:r>
    </w:p>
  </w:footnote>
  <w:footnote w:id="6">
    <w:p w:rsidR="00E83A8B" w:rsidRDefault="00E83A8B" w:rsidP="00E83A8B">
      <w:pPr>
        <w:pStyle w:val="Tekstprzypisudolnego"/>
        <w:jc w:val="both"/>
        <w:rPr>
          <w:rFonts w:ascii="Calibri" w:hAnsi="Calibri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Wypełnić w przypadku projektu realizowanego w partnerstwie. W przypadku, gdy nie są znane konkretne podmioty, które będą partnerami w projekcie, należy wpisać pożądane cechy partnerów oraz uzasadnić wskazanie określonych cech.</w:t>
      </w:r>
    </w:p>
  </w:footnote>
  <w:footnote w:id="7">
    <w:p w:rsidR="00E83A8B" w:rsidRDefault="00E83A8B" w:rsidP="00E83A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szczególności w świetle art. 38 ust. 2 i 3 ustawy z dnia 11 lipca 2014 r. </w:t>
      </w:r>
      <w:r>
        <w:rPr>
          <w:rFonts w:ascii="Arial" w:hAnsi="Arial" w:cs="Arial"/>
          <w:i/>
          <w:sz w:val="16"/>
          <w:szCs w:val="16"/>
        </w:rPr>
        <w:t>o zasadach realizacji programów w zakresie polityki spójności finansowanych w perspektywie finansowej 2014–2020</w:t>
      </w:r>
      <w:r>
        <w:rPr>
          <w:rFonts w:ascii="Arial" w:hAnsi="Arial" w:cs="Arial"/>
          <w:sz w:val="16"/>
          <w:szCs w:val="16"/>
        </w:rPr>
        <w:t xml:space="preserve"> (Dz.U. z 2016 r. poz. 217, z </w:t>
      </w:r>
      <w:proofErr w:type="spellStart"/>
      <w:r>
        <w:rPr>
          <w:rFonts w:ascii="Arial" w:hAnsi="Arial" w:cs="Arial"/>
          <w:sz w:val="16"/>
          <w:szCs w:val="16"/>
        </w:rPr>
        <w:t>późn</w:t>
      </w:r>
      <w:proofErr w:type="spellEnd"/>
      <w:r>
        <w:rPr>
          <w:rFonts w:ascii="Arial" w:hAnsi="Arial" w:cs="Arial"/>
          <w:sz w:val="16"/>
          <w:szCs w:val="16"/>
        </w:rPr>
        <w:t xml:space="preserve">. zm.) oraz podrozdziału 5.2.1 </w:t>
      </w:r>
      <w:r>
        <w:rPr>
          <w:rFonts w:ascii="Arial" w:hAnsi="Arial" w:cs="Arial"/>
          <w:i/>
          <w:sz w:val="16"/>
          <w:szCs w:val="16"/>
        </w:rPr>
        <w:t>Polityka spójności</w:t>
      </w:r>
      <w:r>
        <w:rPr>
          <w:rFonts w:ascii="Arial" w:hAnsi="Arial" w:cs="Arial"/>
          <w:sz w:val="16"/>
          <w:szCs w:val="16"/>
        </w:rPr>
        <w:t xml:space="preserve">, rozdziału 5.2 </w:t>
      </w:r>
      <w:r>
        <w:rPr>
          <w:rFonts w:ascii="Arial" w:hAnsi="Arial" w:cs="Arial"/>
          <w:i/>
          <w:sz w:val="16"/>
          <w:szCs w:val="16"/>
        </w:rPr>
        <w:t>Zasady wyboru projektów</w:t>
      </w:r>
      <w:r>
        <w:rPr>
          <w:rFonts w:ascii="Arial" w:hAnsi="Arial" w:cs="Arial"/>
          <w:sz w:val="16"/>
          <w:szCs w:val="16"/>
        </w:rPr>
        <w:t xml:space="preserve"> Umowy Partnerstwa z dnia 21 maja 2014 r. </w:t>
      </w:r>
    </w:p>
  </w:footnote>
  <w:footnote w:id="8">
    <w:p w:rsidR="00E83A8B" w:rsidRDefault="00E83A8B" w:rsidP="00E83A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Rozbicie wartości docelowych na płeć jest nieobowiązkowe – wypełniane w zależności od specyfiki wsparcia i samego projektu oraz zidentyfikowanego problemu, który projekt ma rozwiązać lub złagodzić.</w:t>
      </w:r>
    </w:p>
  </w:footnote>
  <w:footnote w:id="9">
    <w:p w:rsidR="00E83A8B" w:rsidRDefault="00E83A8B" w:rsidP="00E83A8B">
      <w:pPr>
        <w:pStyle w:val="Tekstprzypisudolnego"/>
        <w:jc w:val="both"/>
        <w:rPr>
          <w:rFonts w:ascii="Calibri" w:hAnsi="Calibri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Rozbicie wartości docelowych na płeć jest nieobowiązkowe – wypełniane w zależności od specyfiki wsparcia i samego projektu oraz zidentyfikowanego problemu, który projekt ma rozwiązać lub złagodzić.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01A" w:rsidRPr="0058301A" w:rsidRDefault="0058301A" w:rsidP="0058301A">
    <w:pPr>
      <w:pStyle w:val="Nagwek"/>
      <w:spacing w:before="120" w:after="120" w:line="240" w:lineRule="atLeas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Pr="00D67239" w:rsidRDefault="001401A5" w:rsidP="00D67239">
    <w:pPr>
      <w:pStyle w:val="Nagwek"/>
      <w:spacing w:before="120" w:after="120" w:line="240" w:lineRule="atLeast"/>
      <w:rPr>
        <w:rFonts w:ascii="Arial" w:hAnsi="Arial" w:cs="Arial"/>
      </w:rPr>
    </w:pPr>
    <w:r>
      <w:rPr>
        <w:rFonts w:ascii="Arial" w:hAnsi="Arial" w:cs="Arial"/>
        <w:noProof/>
        <w:lang w:eastAsia="pl-PL"/>
      </w:rPr>
      <w:drawing>
        <wp:inline distT="0" distB="0" distL="0" distR="0">
          <wp:extent cx="5753100" cy="571500"/>
          <wp:effectExtent l="0" t="0" r="0" b="0"/>
          <wp:docPr id="12" name="Obraz 12" descr="Zestawienie logotypów: Fundusze Europejskiekie Wiedza Edukacja Rozwój, Rzeczpospolita Polska, Ministerstwo Funduszy i Polityki Regionalnej, Unia Europejska Europejski Fundusz Społeczny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Y:\PO WER\Promocja\Logotypy\FE_RP_MFiPR_UE_poziom_p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0E6B"/>
    <w:multiLevelType w:val="hybridMultilevel"/>
    <w:tmpl w:val="A22606C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>
    <w:nsid w:val="0C611302"/>
    <w:multiLevelType w:val="hybridMultilevel"/>
    <w:tmpl w:val="158E3CDA"/>
    <w:lvl w:ilvl="0" w:tplc="090C62C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324FC"/>
    <w:multiLevelType w:val="hybridMultilevel"/>
    <w:tmpl w:val="FB6E5A5E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A0C4A"/>
    <w:multiLevelType w:val="hybridMultilevel"/>
    <w:tmpl w:val="2DFEB0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3031"/>
    <w:multiLevelType w:val="hybridMultilevel"/>
    <w:tmpl w:val="98406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32579"/>
    <w:multiLevelType w:val="hybridMultilevel"/>
    <w:tmpl w:val="2FE261A2"/>
    <w:lvl w:ilvl="0" w:tplc="32D8ED4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20BF9"/>
    <w:multiLevelType w:val="hybridMultilevel"/>
    <w:tmpl w:val="A47A7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8774D"/>
    <w:multiLevelType w:val="hybridMultilevel"/>
    <w:tmpl w:val="C876EC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D25E35"/>
    <w:multiLevelType w:val="hybridMultilevel"/>
    <w:tmpl w:val="B95A5E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823A31"/>
    <w:multiLevelType w:val="hybridMultilevel"/>
    <w:tmpl w:val="835CFE8A"/>
    <w:lvl w:ilvl="0" w:tplc="87C641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90C53"/>
    <w:multiLevelType w:val="hybridMultilevel"/>
    <w:tmpl w:val="17DE1AD0"/>
    <w:lvl w:ilvl="0" w:tplc="04150017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2E3AB46E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422428DA"/>
    <w:multiLevelType w:val="hybridMultilevel"/>
    <w:tmpl w:val="DAD24D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EE9564B"/>
    <w:multiLevelType w:val="hybridMultilevel"/>
    <w:tmpl w:val="4754E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4101AF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4AD0252"/>
    <w:multiLevelType w:val="hybridMultilevel"/>
    <w:tmpl w:val="7178A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21292"/>
    <w:multiLevelType w:val="hybridMultilevel"/>
    <w:tmpl w:val="46187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62EA5"/>
    <w:multiLevelType w:val="hybridMultilevel"/>
    <w:tmpl w:val="37C00A2E"/>
    <w:lvl w:ilvl="0" w:tplc="DD26B048">
      <w:start w:val="1"/>
      <w:numFmt w:val="lowerLetter"/>
      <w:lvlText w:val="%1)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8765E"/>
    <w:multiLevelType w:val="hybridMultilevel"/>
    <w:tmpl w:val="6C86ED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540E8F"/>
    <w:multiLevelType w:val="hybridMultilevel"/>
    <w:tmpl w:val="2FE261A2"/>
    <w:lvl w:ilvl="0" w:tplc="32D8ED4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DF086F"/>
    <w:multiLevelType w:val="hybridMultilevel"/>
    <w:tmpl w:val="6D9C6F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C51110F"/>
    <w:multiLevelType w:val="hybridMultilevel"/>
    <w:tmpl w:val="2FE261A2"/>
    <w:lvl w:ilvl="0" w:tplc="32D8ED4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2"/>
  </w:num>
  <w:num w:numId="8">
    <w:abstractNumId w:val="19"/>
  </w:num>
  <w:num w:numId="9">
    <w:abstractNumId w:val="3"/>
  </w:num>
  <w:num w:numId="10">
    <w:abstractNumId w:val="7"/>
  </w:num>
  <w:num w:numId="11">
    <w:abstractNumId w:val="16"/>
  </w:num>
  <w:num w:numId="12">
    <w:abstractNumId w:val="14"/>
  </w:num>
  <w:num w:numId="13">
    <w:abstractNumId w:val="0"/>
  </w:num>
  <w:num w:numId="14">
    <w:abstractNumId w:val="23"/>
  </w:num>
  <w:num w:numId="15">
    <w:abstractNumId w:val="21"/>
  </w:num>
  <w:num w:numId="16">
    <w:abstractNumId w:val="6"/>
  </w:num>
  <w:num w:numId="17">
    <w:abstractNumId w:val="15"/>
  </w:num>
  <w:num w:numId="18">
    <w:abstractNumId w:val="5"/>
  </w:num>
  <w:num w:numId="19">
    <w:abstractNumId w:val="8"/>
  </w:num>
  <w:num w:numId="20">
    <w:abstractNumId w:val="12"/>
  </w:num>
  <w:num w:numId="21">
    <w:abstractNumId w:val="9"/>
  </w:num>
  <w:num w:numId="22">
    <w:abstractNumId w:val="22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8A"/>
    <w:rsid w:val="0000117E"/>
    <w:rsid w:val="000012CE"/>
    <w:rsid w:val="00003ACA"/>
    <w:rsid w:val="00007C80"/>
    <w:rsid w:val="00013990"/>
    <w:rsid w:val="00015DB0"/>
    <w:rsid w:val="00030B5B"/>
    <w:rsid w:val="00037B81"/>
    <w:rsid w:val="000412E4"/>
    <w:rsid w:val="0004478C"/>
    <w:rsid w:val="000448C2"/>
    <w:rsid w:val="00050A79"/>
    <w:rsid w:val="00055B68"/>
    <w:rsid w:val="000631D1"/>
    <w:rsid w:val="0006320D"/>
    <w:rsid w:val="000640EA"/>
    <w:rsid w:val="00072776"/>
    <w:rsid w:val="00080A68"/>
    <w:rsid w:val="00081A04"/>
    <w:rsid w:val="00086B53"/>
    <w:rsid w:val="00093F6A"/>
    <w:rsid w:val="000A29A9"/>
    <w:rsid w:val="000A2FA8"/>
    <w:rsid w:val="000A3D94"/>
    <w:rsid w:val="000A4A6D"/>
    <w:rsid w:val="000C560E"/>
    <w:rsid w:val="000D0F64"/>
    <w:rsid w:val="000E189A"/>
    <w:rsid w:val="000E288B"/>
    <w:rsid w:val="000E58A5"/>
    <w:rsid w:val="000F1E91"/>
    <w:rsid w:val="000F2CAC"/>
    <w:rsid w:val="000F7ED2"/>
    <w:rsid w:val="001003E6"/>
    <w:rsid w:val="00100AEB"/>
    <w:rsid w:val="0010656E"/>
    <w:rsid w:val="00110984"/>
    <w:rsid w:val="001112AB"/>
    <w:rsid w:val="00112B98"/>
    <w:rsid w:val="00116E66"/>
    <w:rsid w:val="001179F1"/>
    <w:rsid w:val="001207BE"/>
    <w:rsid w:val="001208EA"/>
    <w:rsid w:val="00123D1E"/>
    <w:rsid w:val="001401A5"/>
    <w:rsid w:val="00142F9C"/>
    <w:rsid w:val="00161207"/>
    <w:rsid w:val="0016199A"/>
    <w:rsid w:val="0016495F"/>
    <w:rsid w:val="00170999"/>
    <w:rsid w:val="00177B42"/>
    <w:rsid w:val="001821BC"/>
    <w:rsid w:val="00184282"/>
    <w:rsid w:val="00186A00"/>
    <w:rsid w:val="00187651"/>
    <w:rsid w:val="00192141"/>
    <w:rsid w:val="0019293B"/>
    <w:rsid w:val="00193E3D"/>
    <w:rsid w:val="001975AB"/>
    <w:rsid w:val="001A671B"/>
    <w:rsid w:val="001B2286"/>
    <w:rsid w:val="001B3A78"/>
    <w:rsid w:val="001B415A"/>
    <w:rsid w:val="001C3FF6"/>
    <w:rsid w:val="001D2A36"/>
    <w:rsid w:val="001D4A4D"/>
    <w:rsid w:val="001D57BE"/>
    <w:rsid w:val="001F10B7"/>
    <w:rsid w:val="001F331F"/>
    <w:rsid w:val="001F5F00"/>
    <w:rsid w:val="001F63AD"/>
    <w:rsid w:val="00201488"/>
    <w:rsid w:val="00217DDF"/>
    <w:rsid w:val="002218D7"/>
    <w:rsid w:val="00222207"/>
    <w:rsid w:val="0022312F"/>
    <w:rsid w:val="00227643"/>
    <w:rsid w:val="002278FA"/>
    <w:rsid w:val="00227E1F"/>
    <w:rsid w:val="002407CF"/>
    <w:rsid w:val="00242778"/>
    <w:rsid w:val="002456EE"/>
    <w:rsid w:val="002474D4"/>
    <w:rsid w:val="00251DF9"/>
    <w:rsid w:val="00257050"/>
    <w:rsid w:val="00257888"/>
    <w:rsid w:val="002625E1"/>
    <w:rsid w:val="002752D2"/>
    <w:rsid w:val="0028171D"/>
    <w:rsid w:val="00290347"/>
    <w:rsid w:val="002961EA"/>
    <w:rsid w:val="0029647F"/>
    <w:rsid w:val="002A33DD"/>
    <w:rsid w:val="002A4B8F"/>
    <w:rsid w:val="002A4D9A"/>
    <w:rsid w:val="002B32FA"/>
    <w:rsid w:val="002B3A81"/>
    <w:rsid w:val="002E13A4"/>
    <w:rsid w:val="002E56F7"/>
    <w:rsid w:val="002E7381"/>
    <w:rsid w:val="002E7A2D"/>
    <w:rsid w:val="002F09CE"/>
    <w:rsid w:val="002F4A76"/>
    <w:rsid w:val="002F50C5"/>
    <w:rsid w:val="00315A9A"/>
    <w:rsid w:val="00320B2D"/>
    <w:rsid w:val="003312F7"/>
    <w:rsid w:val="0033332E"/>
    <w:rsid w:val="003346F7"/>
    <w:rsid w:val="003432FE"/>
    <w:rsid w:val="003436FC"/>
    <w:rsid w:val="00347B70"/>
    <w:rsid w:val="003530E2"/>
    <w:rsid w:val="003561E4"/>
    <w:rsid w:val="00364992"/>
    <w:rsid w:val="003937F3"/>
    <w:rsid w:val="00393AB7"/>
    <w:rsid w:val="00395D40"/>
    <w:rsid w:val="00397601"/>
    <w:rsid w:val="003A0F4D"/>
    <w:rsid w:val="003A79DF"/>
    <w:rsid w:val="003B1413"/>
    <w:rsid w:val="003B4D91"/>
    <w:rsid w:val="003C3EAA"/>
    <w:rsid w:val="003D15EC"/>
    <w:rsid w:val="003D5375"/>
    <w:rsid w:val="003D5936"/>
    <w:rsid w:val="003D5F7A"/>
    <w:rsid w:val="003D7726"/>
    <w:rsid w:val="003E105B"/>
    <w:rsid w:val="003E7D9C"/>
    <w:rsid w:val="003F05D9"/>
    <w:rsid w:val="00402A95"/>
    <w:rsid w:val="004039AD"/>
    <w:rsid w:val="00404712"/>
    <w:rsid w:val="00404FBC"/>
    <w:rsid w:val="004076A1"/>
    <w:rsid w:val="00413F87"/>
    <w:rsid w:val="00431392"/>
    <w:rsid w:val="004317C0"/>
    <w:rsid w:val="00432F13"/>
    <w:rsid w:val="00440EB0"/>
    <w:rsid w:val="00442F50"/>
    <w:rsid w:val="00450110"/>
    <w:rsid w:val="00455218"/>
    <w:rsid w:val="00460AAF"/>
    <w:rsid w:val="004643B7"/>
    <w:rsid w:val="00470544"/>
    <w:rsid w:val="00474538"/>
    <w:rsid w:val="00475B95"/>
    <w:rsid w:val="004814E8"/>
    <w:rsid w:val="004A3BA4"/>
    <w:rsid w:val="004A3CC7"/>
    <w:rsid w:val="004A4466"/>
    <w:rsid w:val="004A605F"/>
    <w:rsid w:val="004C1A56"/>
    <w:rsid w:val="004C2A1C"/>
    <w:rsid w:val="004C49C9"/>
    <w:rsid w:val="004C5CFA"/>
    <w:rsid w:val="004D3EAE"/>
    <w:rsid w:val="004D7ADD"/>
    <w:rsid w:val="004E31B2"/>
    <w:rsid w:val="004F24C1"/>
    <w:rsid w:val="004F361A"/>
    <w:rsid w:val="004F3787"/>
    <w:rsid w:val="004F78AA"/>
    <w:rsid w:val="00506DA0"/>
    <w:rsid w:val="00510D4D"/>
    <w:rsid w:val="0051421C"/>
    <w:rsid w:val="00515084"/>
    <w:rsid w:val="00522637"/>
    <w:rsid w:val="0052582C"/>
    <w:rsid w:val="005260FA"/>
    <w:rsid w:val="005334D9"/>
    <w:rsid w:val="005434BC"/>
    <w:rsid w:val="00547A7F"/>
    <w:rsid w:val="00547B09"/>
    <w:rsid w:val="00561319"/>
    <w:rsid w:val="00561DA3"/>
    <w:rsid w:val="00562453"/>
    <w:rsid w:val="0056414A"/>
    <w:rsid w:val="00566225"/>
    <w:rsid w:val="00570AD8"/>
    <w:rsid w:val="00574EEB"/>
    <w:rsid w:val="0058301A"/>
    <w:rsid w:val="005867B6"/>
    <w:rsid w:val="00593FCF"/>
    <w:rsid w:val="00594384"/>
    <w:rsid w:val="0059477F"/>
    <w:rsid w:val="00596732"/>
    <w:rsid w:val="005A76C5"/>
    <w:rsid w:val="005B02C3"/>
    <w:rsid w:val="005B086C"/>
    <w:rsid w:val="005B3CC4"/>
    <w:rsid w:val="005C4A57"/>
    <w:rsid w:val="005D2FFC"/>
    <w:rsid w:val="005E5B1F"/>
    <w:rsid w:val="005F054A"/>
    <w:rsid w:val="005F285E"/>
    <w:rsid w:val="005F3244"/>
    <w:rsid w:val="005F62F5"/>
    <w:rsid w:val="00605D0C"/>
    <w:rsid w:val="00607B95"/>
    <w:rsid w:val="006206FF"/>
    <w:rsid w:val="00623F65"/>
    <w:rsid w:val="00624403"/>
    <w:rsid w:val="00630392"/>
    <w:rsid w:val="006510EF"/>
    <w:rsid w:val="00661ACC"/>
    <w:rsid w:val="00662A32"/>
    <w:rsid w:val="00664C7A"/>
    <w:rsid w:val="00666C6B"/>
    <w:rsid w:val="00670E5B"/>
    <w:rsid w:val="006735FE"/>
    <w:rsid w:val="0068092C"/>
    <w:rsid w:val="006960EF"/>
    <w:rsid w:val="00697BA2"/>
    <w:rsid w:val="006A057D"/>
    <w:rsid w:val="006A33B5"/>
    <w:rsid w:val="006A3C7B"/>
    <w:rsid w:val="006A6F96"/>
    <w:rsid w:val="006C2329"/>
    <w:rsid w:val="006C4F84"/>
    <w:rsid w:val="006D4570"/>
    <w:rsid w:val="006E53E8"/>
    <w:rsid w:val="006F5109"/>
    <w:rsid w:val="006F7CB9"/>
    <w:rsid w:val="007023D0"/>
    <w:rsid w:val="007220E8"/>
    <w:rsid w:val="00727027"/>
    <w:rsid w:val="0072710B"/>
    <w:rsid w:val="00730371"/>
    <w:rsid w:val="007308D4"/>
    <w:rsid w:val="00733B9D"/>
    <w:rsid w:val="00735EFE"/>
    <w:rsid w:val="00741959"/>
    <w:rsid w:val="00742EF5"/>
    <w:rsid w:val="007450D2"/>
    <w:rsid w:val="007529F8"/>
    <w:rsid w:val="0075471A"/>
    <w:rsid w:val="00761577"/>
    <w:rsid w:val="00764E23"/>
    <w:rsid w:val="0077091A"/>
    <w:rsid w:val="00770DB7"/>
    <w:rsid w:val="00773A80"/>
    <w:rsid w:val="00773EE9"/>
    <w:rsid w:val="0077421C"/>
    <w:rsid w:val="00780D7D"/>
    <w:rsid w:val="007820D8"/>
    <w:rsid w:val="00787BEF"/>
    <w:rsid w:val="007A57B5"/>
    <w:rsid w:val="007B1ADC"/>
    <w:rsid w:val="007B1CE4"/>
    <w:rsid w:val="007B4B03"/>
    <w:rsid w:val="007D0FE5"/>
    <w:rsid w:val="007D50C2"/>
    <w:rsid w:val="007E0B2F"/>
    <w:rsid w:val="007E17E5"/>
    <w:rsid w:val="007E62D8"/>
    <w:rsid w:val="007E6FE2"/>
    <w:rsid w:val="007F2405"/>
    <w:rsid w:val="007F68E9"/>
    <w:rsid w:val="007F6B31"/>
    <w:rsid w:val="0080385A"/>
    <w:rsid w:val="008135E6"/>
    <w:rsid w:val="008233E2"/>
    <w:rsid w:val="00824D65"/>
    <w:rsid w:val="00830F13"/>
    <w:rsid w:val="008321BB"/>
    <w:rsid w:val="00835267"/>
    <w:rsid w:val="0083636D"/>
    <w:rsid w:val="008373BB"/>
    <w:rsid w:val="008436BE"/>
    <w:rsid w:val="00852924"/>
    <w:rsid w:val="00870F95"/>
    <w:rsid w:val="00872E8B"/>
    <w:rsid w:val="00873219"/>
    <w:rsid w:val="00874C28"/>
    <w:rsid w:val="008772FF"/>
    <w:rsid w:val="00894F39"/>
    <w:rsid w:val="008A5E1B"/>
    <w:rsid w:val="008B3487"/>
    <w:rsid w:val="008B760D"/>
    <w:rsid w:val="008C1C06"/>
    <w:rsid w:val="008D37E7"/>
    <w:rsid w:val="008D7AF5"/>
    <w:rsid w:val="008E3F14"/>
    <w:rsid w:val="008E5C15"/>
    <w:rsid w:val="008E6900"/>
    <w:rsid w:val="00906F7E"/>
    <w:rsid w:val="00910C78"/>
    <w:rsid w:val="0091150A"/>
    <w:rsid w:val="00916DF6"/>
    <w:rsid w:val="00930ED1"/>
    <w:rsid w:val="0093259B"/>
    <w:rsid w:val="00934595"/>
    <w:rsid w:val="00941C0C"/>
    <w:rsid w:val="00944FA7"/>
    <w:rsid w:val="009472A5"/>
    <w:rsid w:val="0095152A"/>
    <w:rsid w:val="00956667"/>
    <w:rsid w:val="00956B94"/>
    <w:rsid w:val="00957067"/>
    <w:rsid w:val="00957DBF"/>
    <w:rsid w:val="00966CC9"/>
    <w:rsid w:val="00976CE2"/>
    <w:rsid w:val="009837F6"/>
    <w:rsid w:val="009A31C6"/>
    <w:rsid w:val="009A352C"/>
    <w:rsid w:val="009C44A3"/>
    <w:rsid w:val="009E69DB"/>
    <w:rsid w:val="00A07047"/>
    <w:rsid w:val="00A24AF0"/>
    <w:rsid w:val="00A367AE"/>
    <w:rsid w:val="00A540EA"/>
    <w:rsid w:val="00A55A09"/>
    <w:rsid w:val="00A560AB"/>
    <w:rsid w:val="00A63D57"/>
    <w:rsid w:val="00A65EA1"/>
    <w:rsid w:val="00A708B7"/>
    <w:rsid w:val="00A744E4"/>
    <w:rsid w:val="00A76FDE"/>
    <w:rsid w:val="00A9201E"/>
    <w:rsid w:val="00A93641"/>
    <w:rsid w:val="00AA08AC"/>
    <w:rsid w:val="00AC257C"/>
    <w:rsid w:val="00AC53D2"/>
    <w:rsid w:val="00AE6A4E"/>
    <w:rsid w:val="00B00DDD"/>
    <w:rsid w:val="00B05BA4"/>
    <w:rsid w:val="00B10BFC"/>
    <w:rsid w:val="00B145EB"/>
    <w:rsid w:val="00B154AE"/>
    <w:rsid w:val="00B20493"/>
    <w:rsid w:val="00B217A6"/>
    <w:rsid w:val="00B23EFA"/>
    <w:rsid w:val="00B3144A"/>
    <w:rsid w:val="00B31DDB"/>
    <w:rsid w:val="00B36E5B"/>
    <w:rsid w:val="00B40FD3"/>
    <w:rsid w:val="00B42200"/>
    <w:rsid w:val="00B473F6"/>
    <w:rsid w:val="00B633C2"/>
    <w:rsid w:val="00B63A1C"/>
    <w:rsid w:val="00B75AF8"/>
    <w:rsid w:val="00B84741"/>
    <w:rsid w:val="00B94116"/>
    <w:rsid w:val="00BA26B8"/>
    <w:rsid w:val="00BA4ED2"/>
    <w:rsid w:val="00BB25FA"/>
    <w:rsid w:val="00BB52EB"/>
    <w:rsid w:val="00BC02D4"/>
    <w:rsid w:val="00BC237E"/>
    <w:rsid w:val="00BC489F"/>
    <w:rsid w:val="00BD3383"/>
    <w:rsid w:val="00BD3EFE"/>
    <w:rsid w:val="00BD7E3E"/>
    <w:rsid w:val="00BE0FA6"/>
    <w:rsid w:val="00BF074E"/>
    <w:rsid w:val="00BF6C4E"/>
    <w:rsid w:val="00BF7392"/>
    <w:rsid w:val="00C10410"/>
    <w:rsid w:val="00C15FDA"/>
    <w:rsid w:val="00C17587"/>
    <w:rsid w:val="00C2216A"/>
    <w:rsid w:val="00C34CE3"/>
    <w:rsid w:val="00C3567A"/>
    <w:rsid w:val="00C36ADA"/>
    <w:rsid w:val="00C5021B"/>
    <w:rsid w:val="00C519FB"/>
    <w:rsid w:val="00C563D9"/>
    <w:rsid w:val="00C600BE"/>
    <w:rsid w:val="00C6508D"/>
    <w:rsid w:val="00C6665B"/>
    <w:rsid w:val="00C70EE0"/>
    <w:rsid w:val="00C728A1"/>
    <w:rsid w:val="00C749DD"/>
    <w:rsid w:val="00C8695C"/>
    <w:rsid w:val="00CA22A2"/>
    <w:rsid w:val="00CA4B43"/>
    <w:rsid w:val="00CA6619"/>
    <w:rsid w:val="00CB2F6E"/>
    <w:rsid w:val="00CB3CB7"/>
    <w:rsid w:val="00CD2A69"/>
    <w:rsid w:val="00CD631F"/>
    <w:rsid w:val="00CE693A"/>
    <w:rsid w:val="00CE7623"/>
    <w:rsid w:val="00CF0825"/>
    <w:rsid w:val="00CF3056"/>
    <w:rsid w:val="00D03F78"/>
    <w:rsid w:val="00D05C74"/>
    <w:rsid w:val="00D15A4C"/>
    <w:rsid w:val="00D22AB2"/>
    <w:rsid w:val="00D27252"/>
    <w:rsid w:val="00D36409"/>
    <w:rsid w:val="00D43C01"/>
    <w:rsid w:val="00D46CB6"/>
    <w:rsid w:val="00D50FDD"/>
    <w:rsid w:val="00D56150"/>
    <w:rsid w:val="00D604F4"/>
    <w:rsid w:val="00D60774"/>
    <w:rsid w:val="00D63C89"/>
    <w:rsid w:val="00D67239"/>
    <w:rsid w:val="00D70610"/>
    <w:rsid w:val="00D87596"/>
    <w:rsid w:val="00D909B5"/>
    <w:rsid w:val="00D91C18"/>
    <w:rsid w:val="00D948F1"/>
    <w:rsid w:val="00D96155"/>
    <w:rsid w:val="00D97E08"/>
    <w:rsid w:val="00DA0A76"/>
    <w:rsid w:val="00DA1426"/>
    <w:rsid w:val="00DA2457"/>
    <w:rsid w:val="00DA43B3"/>
    <w:rsid w:val="00DB491F"/>
    <w:rsid w:val="00DC627B"/>
    <w:rsid w:val="00DD03AA"/>
    <w:rsid w:val="00DD4FB0"/>
    <w:rsid w:val="00DE0234"/>
    <w:rsid w:val="00DE031D"/>
    <w:rsid w:val="00DE2FFF"/>
    <w:rsid w:val="00DE419A"/>
    <w:rsid w:val="00DF06C6"/>
    <w:rsid w:val="00DF7E58"/>
    <w:rsid w:val="00E0011C"/>
    <w:rsid w:val="00E0101E"/>
    <w:rsid w:val="00E05ACB"/>
    <w:rsid w:val="00E07552"/>
    <w:rsid w:val="00E14CDD"/>
    <w:rsid w:val="00E34748"/>
    <w:rsid w:val="00E35650"/>
    <w:rsid w:val="00E35F92"/>
    <w:rsid w:val="00E378F9"/>
    <w:rsid w:val="00E4077F"/>
    <w:rsid w:val="00E45529"/>
    <w:rsid w:val="00E47737"/>
    <w:rsid w:val="00E5227F"/>
    <w:rsid w:val="00E60E76"/>
    <w:rsid w:val="00E64182"/>
    <w:rsid w:val="00E64F12"/>
    <w:rsid w:val="00E70B63"/>
    <w:rsid w:val="00E72530"/>
    <w:rsid w:val="00E8044E"/>
    <w:rsid w:val="00E83A8B"/>
    <w:rsid w:val="00E92463"/>
    <w:rsid w:val="00E94EB4"/>
    <w:rsid w:val="00E95C22"/>
    <w:rsid w:val="00E9669D"/>
    <w:rsid w:val="00EA5115"/>
    <w:rsid w:val="00EA61F6"/>
    <w:rsid w:val="00EB10B2"/>
    <w:rsid w:val="00EB6F13"/>
    <w:rsid w:val="00EB7249"/>
    <w:rsid w:val="00EC5CFA"/>
    <w:rsid w:val="00EC665F"/>
    <w:rsid w:val="00ED18B9"/>
    <w:rsid w:val="00ED618B"/>
    <w:rsid w:val="00EE14E4"/>
    <w:rsid w:val="00EE75FF"/>
    <w:rsid w:val="00EE7862"/>
    <w:rsid w:val="00EF12B4"/>
    <w:rsid w:val="00F16A63"/>
    <w:rsid w:val="00F20081"/>
    <w:rsid w:val="00F2680A"/>
    <w:rsid w:val="00F33DAA"/>
    <w:rsid w:val="00F34AFA"/>
    <w:rsid w:val="00F424AC"/>
    <w:rsid w:val="00F44558"/>
    <w:rsid w:val="00F467E1"/>
    <w:rsid w:val="00F52C9A"/>
    <w:rsid w:val="00F61F77"/>
    <w:rsid w:val="00F720A0"/>
    <w:rsid w:val="00F75263"/>
    <w:rsid w:val="00F7558A"/>
    <w:rsid w:val="00F8164D"/>
    <w:rsid w:val="00F81C42"/>
    <w:rsid w:val="00F85319"/>
    <w:rsid w:val="00F86943"/>
    <w:rsid w:val="00F938A3"/>
    <w:rsid w:val="00F943F0"/>
    <w:rsid w:val="00F96C77"/>
    <w:rsid w:val="00FB0DE2"/>
    <w:rsid w:val="00FC52D6"/>
    <w:rsid w:val="00FC53E2"/>
    <w:rsid w:val="00FD2474"/>
    <w:rsid w:val="00FD29E0"/>
    <w:rsid w:val="00FD421D"/>
    <w:rsid w:val="00FD5F00"/>
    <w:rsid w:val="00FD7CA7"/>
    <w:rsid w:val="00FE001C"/>
    <w:rsid w:val="00FE7ADB"/>
    <w:rsid w:val="00FF48DE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37B81"/>
    <w:pPr>
      <w:spacing w:after="0" w:line="360" w:lineRule="auto"/>
      <w:ind w:left="720"/>
      <w:contextualSpacing/>
      <w:jc w:val="both"/>
    </w:pPr>
    <w:rPr>
      <w:rFonts w:ascii="Arial" w:eastAsia="Times New Roman" w:hAnsi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4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4B0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D593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D5936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semiHidden/>
    <w:rsid w:val="003D593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link w:val="Tekstprzypisudolnego"/>
    <w:semiHidden/>
    <w:rsid w:val="003D5936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rsid w:val="003D593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110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098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1098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098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10984"/>
    <w:rPr>
      <w:b/>
      <w:bCs/>
      <w:lang w:eastAsia="en-US"/>
    </w:rPr>
  </w:style>
  <w:style w:type="character" w:styleId="Pogrubienie">
    <w:name w:val="Strong"/>
    <w:uiPriority w:val="22"/>
    <w:qFormat/>
    <w:rsid w:val="000E58A5"/>
    <w:rPr>
      <w:b/>
      <w:bCs/>
    </w:rPr>
  </w:style>
  <w:style w:type="paragraph" w:styleId="Poprawka">
    <w:name w:val="Revision"/>
    <w:hidden/>
    <w:uiPriority w:val="99"/>
    <w:semiHidden/>
    <w:rsid w:val="00E4552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432F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37B81"/>
    <w:pPr>
      <w:spacing w:after="0" w:line="360" w:lineRule="auto"/>
      <w:ind w:left="720"/>
      <w:contextualSpacing/>
      <w:jc w:val="both"/>
    </w:pPr>
    <w:rPr>
      <w:rFonts w:ascii="Arial" w:eastAsia="Times New Roman" w:hAnsi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4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4B0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D593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D5936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semiHidden/>
    <w:rsid w:val="003D593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link w:val="Tekstprzypisudolnego"/>
    <w:semiHidden/>
    <w:rsid w:val="003D5936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rsid w:val="003D593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110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098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1098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098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10984"/>
    <w:rPr>
      <w:b/>
      <w:bCs/>
      <w:lang w:eastAsia="en-US"/>
    </w:rPr>
  </w:style>
  <w:style w:type="character" w:styleId="Pogrubienie">
    <w:name w:val="Strong"/>
    <w:uiPriority w:val="22"/>
    <w:qFormat/>
    <w:rsid w:val="000E58A5"/>
    <w:rPr>
      <w:b/>
      <w:bCs/>
    </w:rPr>
  </w:style>
  <w:style w:type="paragraph" w:styleId="Poprawka">
    <w:name w:val="Revision"/>
    <w:hidden/>
    <w:uiPriority w:val="99"/>
    <w:semiHidden/>
    <w:rsid w:val="00E4552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432F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D45F-099E-4C08-8C8F-BA2F5FCE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3144</Words>
  <Characters>18867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Galant</dc:creator>
  <cp:lastModifiedBy>Ryszard Jagiello</cp:lastModifiedBy>
  <cp:revision>3</cp:revision>
  <cp:lastPrinted>2021-03-17T11:28:00Z</cp:lastPrinted>
  <dcterms:created xsi:type="dcterms:W3CDTF">2021-03-25T13:28:00Z</dcterms:created>
  <dcterms:modified xsi:type="dcterms:W3CDTF">2021-03-29T09:35:00Z</dcterms:modified>
</cp:coreProperties>
</file>